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w:t>
      </w:r>
      <w:r>
        <w:rPr>
          <w:rFonts w:hint="eastAsia" w:ascii="宋体" w:hAnsi="宋体" w:cs="宋体"/>
          <w:b/>
          <w:bCs/>
          <w:kern w:val="0"/>
          <w:sz w:val="36"/>
          <w:szCs w:val="36"/>
          <w:u w:val="single"/>
          <w:lang w:val="en-US" w:eastAsia="zh-CN"/>
        </w:rPr>
        <w:t>通辽工厂动力高耗能电机淘汰</w:t>
      </w:r>
      <w:r>
        <w:rPr>
          <w:rFonts w:hint="eastAsia" w:ascii="宋体" w:hAnsi="宋体" w:cs="宋体"/>
          <w:b/>
          <w:bCs/>
          <w:kern w:val="0"/>
          <w:sz w:val="36"/>
          <w:szCs w:val="36"/>
          <w:u w:val="none"/>
          <w:lang w:val="en-US" w:eastAsia="zh-CN"/>
        </w:rPr>
        <w:t>项目</w:t>
      </w:r>
      <w:r>
        <w:rPr>
          <w:rFonts w:hint="eastAsia" w:ascii="宋体" w:hAnsi="宋体"/>
          <w:sz w:val="36"/>
          <w:szCs w:val="36"/>
          <w:u w:val="none"/>
        </w:rPr>
        <w:t xml:space="preserve">   </w:t>
      </w:r>
      <w:r>
        <w:rPr>
          <w:rFonts w:hint="eastAsia" w:ascii="宋体" w:hAnsi="宋体"/>
          <w:sz w:val="36"/>
          <w:szCs w:val="36"/>
          <w:u w:val="single"/>
        </w:rPr>
        <w:t xml:space="preserve">                   </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内蒙古蒙牛乳业（集团）股份有限公司</w:t>
      </w:r>
      <w:r>
        <w:rPr>
          <w:rFonts w:hint="eastAsia" w:ascii="仿宋_GB2312" w:hAnsi="仿宋_GB2312" w:eastAsia="仿宋_GB2312" w:cs="仿宋_GB2312"/>
          <w:b w:val="0"/>
          <w:bCs/>
          <w:i w:val="0"/>
          <w:iCs/>
          <w:color w:val="auto"/>
          <w:sz w:val="30"/>
          <w:szCs w:val="30"/>
          <w:u w:val="single"/>
          <w:lang w:val="en-US" w:eastAsia="zh-CN"/>
        </w:rPr>
        <w:t>低温事业部</w:t>
      </w:r>
      <w:r>
        <w:rPr>
          <w:rFonts w:hint="eastAsia" w:ascii="仿宋_GB2312" w:hAnsi="仿宋_GB2312" w:eastAsia="仿宋_GB2312" w:cs="仿宋_GB2312"/>
          <w:sz w:val="30"/>
          <w:szCs w:val="30"/>
        </w:rPr>
        <w:t>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通辽工厂动力高耗能电机淘汰</w:t>
      </w:r>
      <w:r>
        <w:rPr>
          <w:rFonts w:hint="eastAsia" w:ascii="仿宋_GB2312" w:hAnsi="仿宋_GB2312" w:eastAsia="仿宋_GB2312" w:cs="仿宋_GB2312"/>
          <w:sz w:val="30"/>
          <w:szCs w:val="30"/>
        </w:rPr>
        <w:t>项目进行公开竞争性谈判,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项目编号：</w:t>
      </w:r>
      <w:r>
        <w:rPr>
          <w:rFonts w:hint="eastAsia" w:ascii="仿宋_GB2312" w:hAnsi="仿宋_GB2312" w:eastAsia="仿宋_GB2312" w:cs="仿宋_GB2312"/>
          <w:color w:val="000000" w:themeColor="text1"/>
          <w:sz w:val="30"/>
          <w:szCs w:val="30"/>
          <w14:textFill>
            <w14:solidFill>
              <w14:schemeClr w14:val="tx1"/>
            </w14:solidFill>
          </w14:textFill>
        </w:rPr>
        <w:t>DWSCTL2021001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sz w:val="30"/>
          <w:szCs w:val="30"/>
        </w:rPr>
        <w:t>二、项目名称</w:t>
      </w:r>
      <w:r>
        <w:rPr>
          <w:rFonts w:hint="eastAsia" w:ascii="仿宋_GB2312" w:hAnsi="仿宋_GB2312" w:eastAsia="仿宋_GB2312" w:cs="仿宋_GB2312"/>
          <w:sz w:val="30"/>
          <w:szCs w:val="30"/>
        </w:rPr>
        <w:t>：</w:t>
      </w:r>
      <w:r>
        <w:rPr>
          <w:rFonts w:hint="eastAsia" w:ascii="仿宋_GB2312" w:hAnsi="仿宋_GB2312" w:eastAsia="仿宋_GB2312" w:cs="仿宋_GB2312"/>
          <w:b w:val="0"/>
          <w:bCs/>
          <w:sz w:val="30"/>
          <w:szCs w:val="30"/>
          <w:lang w:val="en-US" w:eastAsia="zh-CN"/>
        </w:rPr>
        <w:t>通辽工厂动力高耗能电机淘汰项目</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三、项目概况：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为响应我国对企业用电机使用规范要求，需将</w:t>
      </w:r>
      <w:r>
        <w:rPr>
          <w:rFonts w:hint="eastAsia" w:ascii="仿宋_GB2312" w:hAnsi="仿宋_GB2312" w:eastAsia="仿宋_GB2312" w:cs="仿宋_GB2312"/>
          <w:color w:val="auto"/>
          <w:sz w:val="30"/>
          <w:szCs w:val="30"/>
          <w:lang w:val="en-US" w:eastAsia="zh-CN"/>
        </w:rPr>
        <w:t>工厂</w:t>
      </w:r>
      <w:r>
        <w:rPr>
          <w:rFonts w:hint="eastAsia" w:ascii="仿宋_GB2312" w:hAnsi="仿宋_GB2312" w:eastAsia="仿宋_GB2312" w:cs="仿宋_GB2312"/>
          <w:color w:val="auto"/>
          <w:sz w:val="30"/>
          <w:szCs w:val="30"/>
        </w:rPr>
        <w:t>现有高耗能电机淘汰更换为符合国家规定的标准能耗电机，2021年预计更换5台压缩机电机、5台油泵电机。需拆除现有的5台高耗能压缩机电机及5台高耗能油泵电机，替换为符合国家规定的标准能耗电机，通过调试保障设备运转状态符合工厂需求，减少无用功，降低电耗。</w:t>
      </w:r>
    </w:p>
    <w:p>
      <w:pPr>
        <w:keepNext w:val="0"/>
        <w:keepLines w:val="0"/>
        <w:pageBreakBefore w:val="0"/>
        <w:kinsoku/>
        <w:wordWrap/>
        <w:overflowPunct/>
        <w:topLinePunct w:val="0"/>
        <w:autoSpaceDE/>
        <w:autoSpaceDN/>
        <w:bidi w:val="0"/>
        <w:adjustRightInd/>
        <w:snapToGrid/>
        <w:spacing w:line="44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textAlignment w:val="baseline"/>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潜在竞谈方的要求，应包括营业执照、组织机构代码证、税务登记证、资质证书、实施许可的提供相关许可证书、法定代表人证明书、法定代表人授权委托书、类似项目业绩表（近三年二个及以上的类似项目业绩（提供合同或中标通知书））及其他证明材料等；</w:t>
      </w:r>
    </w:p>
    <w:p>
      <w:pPr>
        <w:keepNext w:val="0"/>
        <w:keepLines w:val="0"/>
        <w:pageBreakBefore w:val="0"/>
        <w:kinsoku/>
        <w:wordWrap/>
        <w:overflowPunct/>
        <w:topLinePunct w:val="0"/>
        <w:autoSpaceDE/>
        <w:autoSpaceDN/>
        <w:bidi w:val="0"/>
        <w:adjustRightInd/>
        <w:snapToGrid/>
        <w:spacing w:line="440" w:lineRule="exact"/>
        <w:ind w:left="-178" w:leftChars="-85" w:firstLine="696" w:firstLineChars="232"/>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2、潜在竞谈方未被列入“信用中国”官网（</w:t>
      </w:r>
      <w:r>
        <w:rPr>
          <w:rFonts w:hint="eastAsia" w:ascii="仿宋_GB2312" w:hAnsi="仿宋_GB2312" w:eastAsia="仿宋_GB2312" w:cs="仿宋_GB2312"/>
          <w:color w:val="auto"/>
          <w:kern w:val="2"/>
          <w:sz w:val="30"/>
          <w:szCs w:val="30"/>
          <w:lang w:val="en-US" w:eastAsia="zh-CN" w:bidi="ar-SA"/>
        </w:rPr>
        <w:fldChar w:fldCharType="begin"/>
      </w:r>
      <w:r>
        <w:rPr>
          <w:rFonts w:hint="eastAsia" w:ascii="仿宋_GB2312" w:hAnsi="仿宋_GB2312" w:eastAsia="仿宋_GB2312" w:cs="仿宋_GB2312"/>
          <w:color w:val="auto"/>
          <w:kern w:val="2"/>
          <w:sz w:val="30"/>
          <w:szCs w:val="30"/>
          <w:lang w:val="en-US" w:eastAsia="zh-CN" w:bidi="ar-SA"/>
        </w:rPr>
        <w:instrText xml:space="preserve"> HYPERLINK \t "_blank" </w:instrText>
      </w:r>
      <w:r>
        <w:rPr>
          <w:rFonts w:hint="eastAsia" w:ascii="仿宋_GB2312" w:hAnsi="仿宋_GB2312" w:eastAsia="仿宋_GB2312" w:cs="仿宋_GB2312"/>
          <w:color w:val="auto"/>
          <w:kern w:val="2"/>
          <w:sz w:val="30"/>
          <w:szCs w:val="30"/>
          <w:lang w:val="en-US" w:eastAsia="zh-CN" w:bidi="ar-SA"/>
        </w:rPr>
        <w:fldChar w:fldCharType="separate"/>
      </w:r>
      <w:r>
        <w:rPr>
          <w:rFonts w:hint="eastAsia" w:ascii="仿宋_GB2312" w:hAnsi="仿宋_GB2312" w:eastAsia="仿宋_GB2312" w:cs="仿宋_GB2312"/>
          <w:color w:val="auto"/>
          <w:kern w:val="2"/>
          <w:sz w:val="30"/>
          <w:szCs w:val="30"/>
          <w:lang w:val="en-US" w:eastAsia="zh-CN" w:bidi="ar-SA"/>
        </w:rPr>
        <w:t>www.creditchina.gov.cn）及“国家企业信用信息公示系统”官网（www.gsxt.gov.cn/index.html）违法失信企业名单</w:t>
      </w:r>
      <w:r>
        <w:rPr>
          <w:rFonts w:hint="eastAsia" w:ascii="仿宋_GB2312" w:hAnsi="仿宋_GB2312" w:eastAsia="仿宋_GB2312" w:cs="仿宋_GB2312"/>
          <w:color w:val="auto"/>
          <w:kern w:val="2"/>
          <w:sz w:val="30"/>
          <w:szCs w:val="30"/>
          <w:lang w:val="en-US" w:eastAsia="zh-CN" w:bidi="ar-SA"/>
        </w:rPr>
        <w:fldChar w:fldCharType="end"/>
      </w:r>
      <w:r>
        <w:rPr>
          <w:rFonts w:hint="eastAsia" w:ascii="仿宋_GB2312" w:hAnsi="仿宋_GB2312" w:eastAsia="仿宋_GB2312" w:cs="仿宋_GB2312"/>
          <w:color w:val="auto"/>
          <w:kern w:val="2"/>
          <w:sz w:val="30"/>
          <w:szCs w:val="30"/>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textAlignment w:val="baseline"/>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3、投标人经营范围必须具有机械设备、生产设备、设备销售、安装或维修等相关资质，以企业营业执照为准；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textAlignment w:val="baseline"/>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4、近三年无重大违法违规行为，没有处于被责令停业或破产状态，且资产未被重组、接管和冻结；</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5、单位法定代表人或投资人为同一人，或者存在控股、投资、管理关系的不同单位，不得参加同一标段或者未划分标段的同一竞谈项目投标；法定代表人参股的企业，只允许一家参与竞争。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jc w:val="left"/>
        <w:textAlignment w:val="baseline"/>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6、本次竞谈不接受多家单位联合报价，不允许分包或转包；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jc w:val="left"/>
        <w:textAlignment w:val="baseline"/>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napToGrid/>
        <w:spacing w:line="440" w:lineRule="exact"/>
        <w:ind w:firstLine="602" w:firstLineChars="200"/>
        <w:jc w:val="lef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五、报名须知</w:t>
      </w:r>
    </w:p>
    <w:p>
      <w:pPr>
        <w:keepNext w:val="0"/>
        <w:keepLines w:val="0"/>
        <w:pageBreakBefore w:val="0"/>
        <w:kinsoku/>
        <w:wordWrap/>
        <w:overflowPunct/>
        <w:topLinePunct w:val="0"/>
        <w:autoSpaceDE/>
        <w:autoSpaceDN/>
        <w:bidi w:val="0"/>
        <w:adjustRightInd/>
        <w:snapToGrid/>
        <w:spacing w:line="44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报名资格文件的</w:t>
      </w:r>
      <w:r>
        <w:rPr>
          <w:rFonts w:hint="eastAsia" w:ascii="仿宋_GB2312" w:hAnsi="仿宋_GB2312" w:eastAsia="仿宋_GB2312" w:cs="仿宋_GB2312"/>
          <w:color w:val="000000"/>
          <w:sz w:val="30"/>
          <w:szCs w:val="30"/>
          <w:u w:val="single"/>
        </w:rPr>
        <w:t>组成及顺序</w:t>
      </w:r>
      <w:r>
        <w:rPr>
          <w:rFonts w:hint="eastAsia" w:ascii="仿宋_GB2312" w:hAnsi="仿宋_GB2312" w:eastAsia="仿宋_GB2312" w:cs="仿宋_GB2312"/>
          <w:color w:val="000000"/>
          <w:sz w:val="30"/>
          <w:szCs w:val="30"/>
        </w:rPr>
        <w:t>按照如下要求提供：</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auto"/>
          <w:kern w:val="2"/>
          <w:sz w:val="30"/>
          <w:szCs w:val="30"/>
          <w:lang w:val="en-US" w:eastAsia="zh-CN" w:bidi="ar-SA"/>
        </w:rPr>
        <w:t>1、有效的营业执照（副本）、组织机构代码证（副本）、税务登记证（副本）（注:以上三项或三证合一营业执照副本）；</w:t>
      </w:r>
      <w:r>
        <w:rPr>
          <w:rFonts w:hint="eastAsia" w:ascii="仿宋_GB2312" w:hAnsi="仿宋_GB2312" w:eastAsia="仿宋_GB2312" w:cs="仿宋_GB2312"/>
          <w:color w:val="000000"/>
          <w:sz w:val="30"/>
          <w:szCs w:val="30"/>
          <w:lang w:val="en-US" w:eastAsia="zh-CN"/>
        </w:rPr>
        <w:t>有效的开户行许可证/基本存款</w:t>
      </w:r>
      <w:r>
        <w:rPr>
          <w:rFonts w:hint="eastAsia" w:ascii="仿宋_GB2312" w:hAnsi="仿宋_GB2312" w:eastAsia="仿宋_GB2312" w:cs="仿宋_GB2312"/>
          <w:color w:val="000000"/>
          <w:sz w:val="30"/>
          <w:szCs w:val="30"/>
        </w:rPr>
        <w:t>；</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2、能开具</w:t>
      </w:r>
      <w:r>
        <w:rPr>
          <w:rFonts w:hint="eastAsia" w:ascii="仿宋_GB2312" w:hAnsi="仿宋_GB2312" w:eastAsia="仿宋_GB2312" w:cs="仿宋_GB2312"/>
          <w:b w:val="0"/>
          <w:bCs w:val="0"/>
          <w:color w:val="000000"/>
          <w:sz w:val="30"/>
          <w:szCs w:val="30"/>
          <w:u w:val="single"/>
          <w:lang w:val="en-US" w:eastAsia="zh-CN"/>
        </w:rPr>
        <w:t>13</w:t>
      </w:r>
      <w:r>
        <w:rPr>
          <w:rFonts w:hint="eastAsia" w:ascii="仿宋_GB2312" w:hAnsi="仿宋_GB2312" w:eastAsia="仿宋_GB2312" w:cs="仿宋_GB2312"/>
          <w:color w:val="000000"/>
          <w:sz w:val="30"/>
          <w:szCs w:val="30"/>
        </w:rPr>
        <w:t xml:space="preserve"> %增值税发票的资格，提供一般纳税人认定资格证明材料； </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3、提供本企业近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两</w:t>
      </w:r>
      <w:r>
        <w:rPr>
          <w:rFonts w:hint="eastAsia" w:ascii="仿宋_GB2312" w:hAnsi="仿宋_GB2312" w:eastAsia="仿宋_GB2312" w:cs="仿宋_GB2312"/>
          <w:color w:val="000000"/>
          <w:sz w:val="30"/>
          <w:szCs w:val="30"/>
        </w:rPr>
        <w:t xml:space="preserve"> 年财务报表或第三方财务审计报告；</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4、法定代表人证明书或授权委托书原件；</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备注：法定代表人须携带法人证明材料及身份证原件，若为被授权人须携带一份法人授权委托书和身份证原件及授权委托人近一年内在本单位的社保证明材料。</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5、企业最近1年任意3个月的依法纳税证明材料和社保缴纳证明材料；</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6、企业近 </w:t>
      </w:r>
      <w:r>
        <w:rPr>
          <w:rFonts w:hint="eastAsia" w:ascii="仿宋_GB2312" w:hAnsi="仿宋_GB2312" w:eastAsia="仿宋_GB2312" w:cs="仿宋_GB2312"/>
          <w:color w:val="000000"/>
          <w:sz w:val="30"/>
          <w:szCs w:val="30"/>
          <w:u w:val="single"/>
          <w:lang w:val="en-US" w:eastAsia="zh-CN"/>
        </w:rPr>
        <w:t>三</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年（20</w:t>
      </w:r>
      <w:r>
        <w:rPr>
          <w:rFonts w:hint="eastAsia" w:ascii="仿宋_GB2312" w:hAnsi="仿宋_GB2312" w:eastAsia="仿宋_GB2312" w:cs="仿宋_GB2312"/>
          <w:color w:val="000000"/>
          <w:sz w:val="30"/>
          <w:szCs w:val="30"/>
          <w:lang w:val="en-US" w:eastAsia="zh-CN"/>
        </w:rPr>
        <w:t>18</w:t>
      </w:r>
      <w:r>
        <w:rPr>
          <w:rFonts w:hint="eastAsia" w:ascii="仿宋_GB2312" w:hAnsi="仿宋_GB2312" w:eastAsia="仿宋_GB2312" w:cs="仿宋_GB2312"/>
          <w:color w:val="000000"/>
          <w:sz w:val="30"/>
          <w:szCs w:val="30"/>
        </w:rPr>
        <w:t>年-至今）</w:t>
      </w:r>
      <w:r>
        <w:rPr>
          <w:rFonts w:hint="eastAsia" w:ascii="仿宋_GB2312" w:hAnsi="仿宋_GB2312" w:eastAsia="仿宋_GB2312" w:cs="仿宋_GB2312"/>
          <w:color w:val="000000"/>
          <w:sz w:val="30"/>
          <w:szCs w:val="30"/>
          <w:u w:val="single"/>
          <w:lang w:val="en-US" w:eastAsia="zh-CN"/>
        </w:rPr>
        <w:t>二</w:t>
      </w:r>
      <w:r>
        <w:rPr>
          <w:rFonts w:hint="eastAsia" w:ascii="仿宋_GB2312" w:hAnsi="仿宋_GB2312" w:eastAsia="仿宋_GB2312" w:cs="仿宋_GB2312"/>
          <w:color w:val="000000"/>
          <w:sz w:val="30"/>
          <w:szCs w:val="30"/>
        </w:rPr>
        <w:t xml:space="preserve"> 个及以上类似项目业绩的证明材料（以合同以及订单或验收报告为准）；</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7、实施许可的提供相关许可证书；</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8、数据保密协议（附件2）；</w:t>
      </w:r>
    </w:p>
    <w:p>
      <w:pPr>
        <w:keepNext w:val="0"/>
        <w:keepLines w:val="0"/>
        <w:pageBreakBefore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9、其他需要提供的相关专业文件材料。</w:t>
      </w:r>
    </w:p>
    <w:p>
      <w:pPr>
        <w:keepNext w:val="0"/>
        <w:keepLines w:val="0"/>
        <w:pageBreakBefore w:val="0"/>
        <w:kinsoku/>
        <w:wordWrap/>
        <w:overflowPunct/>
        <w:topLinePunct w:val="0"/>
        <w:autoSpaceDE/>
        <w:autoSpaceDN/>
        <w:bidi w:val="0"/>
        <w:adjustRightInd/>
        <w:snapToGrid/>
        <w:spacing w:line="440" w:lineRule="exact"/>
        <w:ind w:firstLine="606" w:firstLineChars="202"/>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以上各类证书、证明材料应为原件的扫描件或复印件加盖公章，并按以上“组成及顺序”合并在一份PDF格式文件中，于</w:t>
      </w:r>
      <w:r>
        <w:rPr>
          <w:rFonts w:hint="eastAsia" w:ascii="仿宋_GB2312" w:hAnsi="仿宋_GB2312" w:eastAsia="仿宋_GB2312" w:cs="仿宋_GB2312"/>
          <w:sz w:val="30"/>
          <w:szCs w:val="30"/>
        </w:rPr>
        <w:t>资格预审截止时间前</w:t>
      </w:r>
      <w:r>
        <w:rPr>
          <w:rFonts w:hint="eastAsia" w:ascii="仿宋_GB2312" w:hAnsi="仿宋_GB2312" w:eastAsia="仿宋_GB2312" w:cs="仿宋_GB2312"/>
          <w:color w:val="000000" w:themeColor="text1"/>
          <w:sz w:val="30"/>
          <w:szCs w:val="30"/>
          <w14:textFill>
            <w14:solidFill>
              <w14:schemeClr w14:val="tx1"/>
            </w14:solidFill>
          </w14:textFill>
        </w:rPr>
        <w:t>（如下）</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w:t>
      </w:r>
      <w:r>
        <w:rPr>
          <w:rFonts w:hint="eastAsia" w:ascii="仿宋_GB2312" w:hAnsi="仿宋_GB2312" w:eastAsia="仿宋_GB2312" w:cs="仿宋_GB2312"/>
          <w:color w:val="000000"/>
          <w:sz w:val="30"/>
          <w:szCs w:val="30"/>
        </w:rPr>
        <w:t>送到</w:t>
      </w:r>
      <w:r>
        <w:rPr>
          <w:rFonts w:hint="eastAsia" w:ascii="仿宋_GB2312" w:hAnsi="仿宋_GB2312" w:eastAsia="仿宋_GB2312" w:cs="仿宋_GB2312"/>
          <w:color w:val="000000"/>
          <w:sz w:val="30"/>
          <w:szCs w:val="30"/>
          <w:u w:val="single"/>
          <w:lang w:val="en-US" w:eastAsia="zh-CN"/>
        </w:rPr>
        <w:t>kongyan@mengniu.cn</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电子邮箱进行审查（过期发送不予受理），邮件主题为</w:t>
      </w:r>
      <w:r>
        <w:rPr>
          <w:rFonts w:hint="eastAsia" w:ascii="仿宋_GB2312" w:hAnsi="仿宋_GB2312" w:eastAsia="仿宋_GB2312" w:cs="仿宋_GB2312"/>
          <w:b/>
          <w:bCs/>
          <w:sz w:val="30"/>
          <w:szCs w:val="30"/>
        </w:rPr>
        <w:t>“单位名称+项目名称，邮件内容写清楚报名单位的联系人和联系电话”</w:t>
      </w:r>
      <w:r>
        <w:rPr>
          <w:rFonts w:hint="eastAsia" w:ascii="仿宋_GB2312" w:hAnsi="仿宋_GB2312" w:eastAsia="仿宋_GB2312" w:cs="仿宋_GB2312"/>
          <w:color w:val="000000"/>
          <w:sz w:val="30"/>
          <w:szCs w:val="30"/>
        </w:rPr>
        <w:t>，审查合格后方可购买谈判文件。</w:t>
      </w:r>
    </w:p>
    <w:p>
      <w:pPr>
        <w:keepNext w:val="0"/>
        <w:keepLines w:val="0"/>
        <w:pageBreakBefore w:val="0"/>
        <w:kinsoku/>
        <w:wordWrap/>
        <w:overflowPunct/>
        <w:topLinePunct w:val="0"/>
        <w:autoSpaceDE/>
        <w:autoSpaceDN/>
        <w:bidi w:val="0"/>
        <w:adjustRightInd/>
        <w:snapToGrid/>
        <w:spacing w:line="440" w:lineRule="exact"/>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keepNext w:val="0"/>
        <w:keepLines w:val="0"/>
        <w:pageBreakBefore w:val="0"/>
        <w:kinsoku/>
        <w:wordWrap/>
        <w:overflowPunct/>
        <w:topLinePunct w:val="0"/>
        <w:autoSpaceDE/>
        <w:autoSpaceDN/>
        <w:bidi w:val="0"/>
        <w:adjustRightInd/>
        <w:snapToGrid/>
        <w:spacing w:line="440" w:lineRule="exact"/>
        <w:ind w:firstLine="606" w:firstLineChars="202"/>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资料邮寄地址：</w:t>
      </w:r>
      <w:r>
        <w:rPr>
          <w:rFonts w:hint="eastAsia" w:ascii="仿宋_GB2312" w:hAnsi="仿宋_GB2312" w:eastAsia="仿宋_GB2312" w:cs="仿宋_GB2312"/>
          <w:sz w:val="30"/>
          <w:szCs w:val="30"/>
          <w:u w:val="single"/>
          <w:lang w:val="en-US" w:eastAsia="zh-CN"/>
        </w:rPr>
        <w:t>内蒙古通辽市经济技术开发区蒙牛乳业</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606" w:firstLineChars="202"/>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资料提供不全或者未按时间要求提报的将被拒绝接收，所提供的资质业绩文件中如有虚假情况，一经发现将被取消投标资格。</w:t>
      </w:r>
    </w:p>
    <w:p>
      <w:pPr>
        <w:keepNext w:val="0"/>
        <w:keepLines w:val="0"/>
        <w:pageBreakBefore w:val="0"/>
        <w:kinsoku/>
        <w:overflowPunct/>
        <w:topLinePunct w:val="0"/>
        <w:autoSpaceDE/>
        <w:autoSpaceDN/>
        <w:bidi w:val="0"/>
        <w:adjustRightInd/>
        <w:spacing w:line="44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六、项目时间安排及要求：</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1、报名时间：</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9</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时至</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2、资格预审时间：</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3、谈判文件发售时间：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12</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w:t>
      </w:r>
      <w:r>
        <w:rPr>
          <w:rFonts w:hint="eastAsia" w:ascii="仿宋_GB2312" w:hAnsi="仿宋_GB2312" w:eastAsia="仿宋_GB2312" w:cs="仿宋_GB2312"/>
          <w:sz w:val="30"/>
          <w:szCs w:val="30"/>
        </w:rPr>
        <w:t>日发售谈判文件，谈判文件每套售价：人民币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200</w:t>
      </w:r>
      <w:r>
        <w:rPr>
          <w:rFonts w:hint="eastAsia" w:ascii="仿宋_GB2312" w:hAnsi="仿宋_GB2312" w:eastAsia="仿宋_GB2312" w:cs="仿宋_GB2312"/>
          <w:sz w:val="30"/>
          <w:szCs w:val="30"/>
        </w:rPr>
        <w:t>元，售后不退（汇款后将回执扫描后发联系人邮箱主题栏里写清楚项目名称）；</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具体打款信息如下：</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收款单位：</w:t>
      </w:r>
      <w:r>
        <w:rPr>
          <w:rFonts w:hint="eastAsia" w:ascii="仿宋_GB2312" w:hAnsi="仿宋_GB2312" w:eastAsia="仿宋_GB2312" w:cs="仿宋_GB2312"/>
          <w:sz w:val="30"/>
          <w:szCs w:val="30"/>
          <w:lang w:val="en-US" w:eastAsia="zh-CN"/>
        </w:rPr>
        <w:t>通辽市蒙牛乳制品有限责任公司</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 户 行：</w:t>
      </w:r>
      <w:r>
        <w:rPr>
          <w:rFonts w:hint="eastAsia" w:ascii="仿宋_GB2312" w:hAnsi="仿宋_GB2312" w:eastAsia="仿宋_GB2312" w:cs="仿宋_GB2312"/>
          <w:sz w:val="30"/>
          <w:szCs w:val="30"/>
          <w:lang w:val="en-US" w:eastAsia="zh-CN"/>
        </w:rPr>
        <w:t>中农业银行股份有限公司通辽科尔沁支行</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纳税人识别号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911505000851879856</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银行帐号：</w:t>
      </w:r>
      <w:r>
        <w:rPr>
          <w:rFonts w:hint="eastAsia" w:ascii="仿宋_GB2312" w:hAnsi="仿宋_GB2312" w:eastAsia="仿宋_GB2312" w:cs="仿宋_GB2312"/>
          <w:sz w:val="30"/>
          <w:szCs w:val="30"/>
          <w:lang w:val="en-US" w:eastAsia="zh-CN"/>
        </w:rPr>
        <w:t>05-181101040010487</w:t>
      </w:r>
    </w:p>
    <w:p>
      <w:pPr>
        <w:keepNext w:val="0"/>
        <w:keepLines w:val="0"/>
        <w:pageBreakBefore w:val="0"/>
        <w:kinsoku/>
        <w:overflowPunct/>
        <w:topLinePunct w:val="0"/>
        <w:autoSpaceDE/>
        <w:autoSpaceDN/>
        <w:bidi w:val="0"/>
        <w:adjustRightInd/>
        <w:spacing w:line="440" w:lineRule="exact"/>
        <w:ind w:firstLine="600" w:firstLineChars="200"/>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地址：内蒙古自治区通辽市经济技术开发区辽河大街以北甘旗卡路以西</w:t>
      </w:r>
    </w:p>
    <w:p>
      <w:pPr>
        <w:keepNext w:val="0"/>
        <w:keepLines w:val="0"/>
        <w:pageBreakBefore w:val="0"/>
        <w:kinsoku/>
        <w:overflowPunct/>
        <w:topLinePunct w:val="0"/>
        <w:autoSpaceDE/>
        <w:autoSpaceDN/>
        <w:bidi w:val="0"/>
        <w:adjustRightInd/>
        <w:spacing w:line="440" w:lineRule="exact"/>
        <w:ind w:firstLine="600" w:firstLineChars="200"/>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打款备注：通辽工厂动力高耗能电机淘汰项目投标工本费</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4、谈判时间：</w:t>
      </w:r>
      <w:r>
        <w:rPr>
          <w:rFonts w:hint="eastAsia" w:ascii="仿宋_GB2312" w:hAnsi="仿宋_GB2312" w:eastAsia="仿宋_GB2312" w:cs="仿宋_GB2312"/>
          <w:sz w:val="30"/>
          <w:szCs w:val="30"/>
          <w:u w:val="single"/>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25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9:30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时（以发出的谈判文件为准）；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440" w:lineRule="exact"/>
        <w:ind w:left="0" w:right="0" w:firstLine="300" w:firstLineChars="1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七、开标方式：钉钉视频会议方式开标。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440" w:lineRule="exact"/>
        <w:ind w:left="0" w:right="0" w:firstLine="300" w:firstLineChars="100"/>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报名供应商必须注册钉钉用户，并且添加采招联络人为好友。（采招联系人：孔艳    18004756075）</w:t>
      </w:r>
    </w:p>
    <w:p>
      <w:pPr>
        <w:keepNext w:val="0"/>
        <w:keepLines w:val="0"/>
        <w:pageBreakBefore w:val="0"/>
        <w:kinsoku/>
        <w:overflowPunct/>
        <w:topLinePunct w:val="0"/>
        <w:autoSpaceDE/>
        <w:autoSpaceDN/>
        <w:bidi w:val="0"/>
        <w:adjustRightInd/>
        <w:spacing w:line="440" w:lineRule="exact"/>
        <w:ind w:firstLine="602" w:firstLineChars="20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八、发布媒体：</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蒙牛官网（http://www.mengniu.com.cn）</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蒙牛内部OA平台</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此公告只在以上平台发布，其他任何媒体转载无效。</w:t>
      </w:r>
    </w:p>
    <w:p>
      <w:pPr>
        <w:keepNext w:val="0"/>
        <w:keepLines w:val="0"/>
        <w:pageBreakBefore w:val="0"/>
        <w:kinsoku/>
        <w:overflowPunct/>
        <w:topLinePunct w:val="0"/>
        <w:autoSpaceDE/>
        <w:autoSpaceDN/>
        <w:bidi w:val="0"/>
        <w:adjustRightInd/>
        <w:spacing w:line="44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九、采购招标实施方及联系方式：</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采购招标实施方：</w:t>
      </w:r>
      <w:r>
        <w:rPr>
          <w:rFonts w:hint="eastAsia" w:ascii="仿宋_GB2312" w:hAnsi="仿宋_GB2312" w:eastAsia="仿宋_GB2312" w:cs="仿宋_GB2312"/>
          <w:sz w:val="30"/>
          <w:szCs w:val="30"/>
          <w:lang w:val="en-US" w:eastAsia="zh-CN"/>
        </w:rPr>
        <w:t>通辽市蒙牛乳制品有限责任公司</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业务咨询联系人：</w:t>
      </w:r>
      <w:r>
        <w:rPr>
          <w:rFonts w:hint="eastAsia" w:ascii="仿宋_GB2312" w:hAnsi="仿宋_GB2312" w:eastAsia="仿宋_GB2312" w:cs="仿宋_GB2312"/>
          <w:sz w:val="30"/>
          <w:szCs w:val="30"/>
          <w:lang w:val="en-US" w:eastAsia="zh-CN"/>
        </w:rPr>
        <w:t xml:space="preserve">孔艳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lang w:val="en-US" w:eastAsia="zh-CN"/>
        </w:rPr>
        <w:t>18004756075</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技术咨询联系人：</w:t>
      </w:r>
      <w:r>
        <w:rPr>
          <w:rFonts w:hint="eastAsia" w:ascii="仿宋_GB2312" w:hAnsi="仿宋_GB2312" w:eastAsia="仿宋_GB2312" w:cs="仿宋_GB2312"/>
          <w:sz w:val="30"/>
          <w:szCs w:val="30"/>
        </w:rPr>
        <w:t>吉伦白乙拉</w:t>
      </w:r>
      <w:r>
        <w:rPr>
          <w:rFonts w:hint="eastAsia" w:ascii="仿宋_GB2312" w:hAnsi="仿宋_GB2312" w:eastAsia="仿宋_GB2312" w:cs="仿宋_GB2312"/>
          <w:sz w:val="30"/>
          <w:szCs w:val="30"/>
          <w:lang w:val="en-US" w:eastAsia="zh-CN"/>
        </w:rPr>
        <w:t xml:space="preserve">   联系方式：</w:t>
      </w:r>
      <w:r>
        <w:rPr>
          <w:rFonts w:hint="eastAsia" w:ascii="仿宋_GB2312" w:hAnsi="仿宋_GB2312" w:eastAsia="仿宋_GB2312" w:cs="仿宋_GB2312"/>
          <w:sz w:val="30"/>
          <w:szCs w:val="30"/>
        </w:rPr>
        <w:t xml:space="preserve">13314753226                 </w:t>
      </w:r>
    </w:p>
    <w:p>
      <w:pPr>
        <w:keepNext w:val="0"/>
        <w:keepLines w:val="0"/>
        <w:pageBreakBefore w:val="0"/>
        <w:kinsoku/>
        <w:overflowPunct/>
        <w:topLinePunct w:val="0"/>
        <w:autoSpaceDE/>
        <w:autoSpaceDN/>
        <w:bidi w:val="0"/>
        <w:adjustRightInd/>
        <w:spacing w:line="44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十、监督单位及联系方式：</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监督单位：内蒙古蒙牛乳业（集团）股份有限公司招投标管理部</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监 督 人: </w:t>
      </w:r>
      <w:r>
        <w:rPr>
          <w:rFonts w:hint="eastAsia" w:ascii="仿宋_GB2312" w:hAnsi="仿宋_GB2312" w:eastAsia="仿宋_GB2312" w:cs="仿宋_GB2312"/>
          <w:sz w:val="30"/>
          <w:szCs w:val="30"/>
          <w:lang w:val="en-US" w:eastAsia="zh-CN"/>
        </w:rPr>
        <w:t>潘宏</w:t>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联系方式：18686095595</w:t>
      </w:r>
    </w:p>
    <w:p>
      <w:pPr>
        <w:keepNext w:val="0"/>
        <w:keepLines w:val="0"/>
        <w:pageBreakBefore w:val="0"/>
        <w:kinsoku/>
        <w:overflowPunct/>
        <w:topLinePunct w:val="0"/>
        <w:autoSpaceDE/>
        <w:autoSpaceDN/>
        <w:bidi w:val="0"/>
        <w:adjustRightInd/>
        <w:spacing w:line="440" w:lineRule="exact"/>
        <w:ind w:firstLine="600" w:firstLineChars="200"/>
        <w:jc w:val="left"/>
        <w:rPr>
          <w:rFonts w:hint="eastAsia"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440" w:lineRule="exact"/>
        <w:ind w:right="640" w:firstLine="606" w:firstLineChars="202"/>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附件：1.潜在竞谈单位所报标段信息表</w:t>
      </w:r>
    </w:p>
    <w:p>
      <w:pPr>
        <w:keepNext w:val="0"/>
        <w:keepLines w:val="0"/>
        <w:pageBreakBefore w:val="0"/>
        <w:kinsoku/>
        <w:overflowPunct/>
        <w:topLinePunct w:val="0"/>
        <w:autoSpaceDE/>
        <w:autoSpaceDN/>
        <w:bidi w:val="0"/>
        <w:adjustRightInd/>
        <w:spacing w:line="440" w:lineRule="exact"/>
        <w:ind w:firstLine="600" w:firstLineChars="200"/>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 xml:space="preserve">      2.数据保密协议</w:t>
      </w:r>
    </w:p>
    <w:p>
      <w:pPr>
        <w:keepNext w:val="0"/>
        <w:keepLines w:val="0"/>
        <w:pageBreakBefore w:val="0"/>
        <w:kinsoku/>
        <w:overflowPunct/>
        <w:topLinePunct w:val="0"/>
        <w:autoSpaceDE/>
        <w:autoSpaceDN/>
        <w:bidi w:val="0"/>
        <w:adjustRightInd/>
        <w:spacing w:line="440" w:lineRule="exact"/>
        <w:ind w:right="640" w:firstLine="606" w:firstLineChars="202"/>
        <w:jc w:val="left"/>
        <w:rPr>
          <w:rFonts w:hint="eastAsia"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440" w:lineRule="exact"/>
        <w:ind w:right="640"/>
        <w:jc w:val="right"/>
        <w:rPr>
          <w:rFonts w:hint="eastAsia" w:ascii="仿宋_GB2312" w:hAnsi="仿宋_GB2312" w:eastAsia="仿宋_GB2312" w:cs="仿宋_GB2312"/>
          <w:sz w:val="30"/>
          <w:szCs w:val="30"/>
        </w:rPr>
      </w:pPr>
    </w:p>
    <w:p>
      <w:pPr>
        <w:keepNext w:val="0"/>
        <w:keepLines w:val="0"/>
        <w:pageBreakBefore w:val="0"/>
        <w:kinsoku/>
        <w:wordWrap w:val="0"/>
        <w:overflowPunct/>
        <w:topLinePunct w:val="0"/>
        <w:autoSpaceDE/>
        <w:autoSpaceDN/>
        <w:bidi w:val="0"/>
        <w:adjustRightInd/>
        <w:spacing w:line="440" w:lineRule="exact"/>
        <w:ind w:right="509"/>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通辽市蒙牛乳制品有限责任公司</w:t>
      </w:r>
      <w:r>
        <w:rPr>
          <w:rFonts w:hint="eastAsia" w:ascii="仿宋_GB2312" w:hAnsi="仿宋_GB2312" w:eastAsia="仿宋_GB2312" w:cs="仿宋_GB2312"/>
          <w:sz w:val="30"/>
          <w:szCs w:val="30"/>
        </w:rPr>
        <w:t xml:space="preserve">                              二O</w:t>
      </w:r>
      <w:r>
        <w:rPr>
          <w:rFonts w:hint="eastAsia" w:ascii="仿宋_GB2312" w:hAnsi="仿宋_GB2312" w:eastAsia="仿宋_GB2312" w:cs="仿宋_GB2312"/>
          <w:sz w:val="30"/>
          <w:szCs w:val="30"/>
          <w:lang w:val="en-US" w:eastAsia="zh-CN"/>
        </w:rPr>
        <w:t>二一</w:t>
      </w: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六</w:t>
      </w:r>
      <w:bookmarkStart w:id="0" w:name="_GoBack"/>
      <w:bookmarkEnd w:id="0"/>
      <w:r>
        <w:rPr>
          <w:rFonts w:hint="eastAsia" w:ascii="仿宋_GB2312" w:hAnsi="仿宋_GB2312" w:eastAsia="仿宋_GB2312" w:cs="仿宋_GB2312"/>
          <w:sz w:val="30"/>
          <w:szCs w:val="30"/>
        </w:rPr>
        <w:t>日</w:t>
      </w:r>
    </w:p>
    <w:p>
      <w:pPr>
        <w:ind w:firstLine="600" w:firstLineChars="200"/>
        <w:jc w:val="left"/>
        <w:rPr>
          <w:rFonts w:hint="eastAsia" w:ascii="仿宋_GB2312" w:hAnsi="仿宋_GB2312" w:eastAsia="仿宋_GB2312" w:cs="仿宋_GB2312"/>
          <w:sz w:val="30"/>
          <w:szCs w:val="30"/>
        </w:rPr>
      </w:pPr>
    </w:p>
    <w:p>
      <w:pPr>
        <w:ind w:firstLine="560" w:firstLineChars="200"/>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pStyle w:val="2"/>
        <w:rPr>
          <w:rFonts w:hint="eastAsia"/>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潜在竞谈单位所报标段信息表</w:t>
      </w:r>
    </w:p>
    <w:tbl>
      <w:tblPr>
        <w:tblStyle w:val="10"/>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2399"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潜在竞谈单位名称</w:t>
            </w:r>
          </w:p>
        </w:tc>
        <w:tc>
          <w:tcPr>
            <w:tcW w:w="1630"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标段</w:t>
            </w:r>
          </w:p>
        </w:tc>
        <w:tc>
          <w:tcPr>
            <w:tcW w:w="1538"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联系人</w:t>
            </w:r>
          </w:p>
        </w:tc>
        <w:tc>
          <w:tcPr>
            <w:tcW w:w="1713"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联系电话</w:t>
            </w:r>
          </w:p>
        </w:tc>
        <w:tc>
          <w:tcPr>
            <w:tcW w:w="1856"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仿宋_GB2312" w:hAnsi="仿宋_GB2312" w:eastAsia="仿宋_GB2312" w:cs="仿宋_GB2312"/>
                <w:szCs w:val="21"/>
              </w:rPr>
            </w:pPr>
          </w:p>
        </w:tc>
        <w:tc>
          <w:tcPr>
            <w:tcW w:w="2399" w:type="dxa"/>
          </w:tcPr>
          <w:p>
            <w:pPr>
              <w:ind w:firstLine="420" w:firstLineChars="200"/>
              <w:jc w:val="left"/>
              <w:rPr>
                <w:rFonts w:hint="eastAsia" w:ascii="仿宋_GB2312" w:hAnsi="仿宋_GB2312" w:eastAsia="仿宋_GB2312" w:cs="仿宋_GB2312"/>
                <w:szCs w:val="21"/>
              </w:rPr>
            </w:pPr>
          </w:p>
        </w:tc>
        <w:tc>
          <w:tcPr>
            <w:tcW w:w="1630" w:type="dxa"/>
          </w:tcPr>
          <w:p>
            <w:pPr>
              <w:ind w:firstLine="420" w:firstLineChars="200"/>
              <w:jc w:val="left"/>
              <w:rPr>
                <w:rFonts w:hint="eastAsia" w:ascii="仿宋_GB2312" w:hAnsi="仿宋_GB2312" w:eastAsia="仿宋_GB2312" w:cs="仿宋_GB2312"/>
                <w:szCs w:val="21"/>
              </w:rPr>
            </w:pPr>
          </w:p>
        </w:tc>
        <w:tc>
          <w:tcPr>
            <w:tcW w:w="1538" w:type="dxa"/>
          </w:tcPr>
          <w:p>
            <w:pPr>
              <w:ind w:firstLine="420" w:firstLineChars="200"/>
              <w:jc w:val="left"/>
              <w:rPr>
                <w:rFonts w:hint="eastAsia" w:ascii="仿宋_GB2312" w:hAnsi="仿宋_GB2312" w:eastAsia="仿宋_GB2312" w:cs="仿宋_GB2312"/>
                <w:szCs w:val="21"/>
              </w:rPr>
            </w:pPr>
          </w:p>
        </w:tc>
        <w:tc>
          <w:tcPr>
            <w:tcW w:w="1713" w:type="dxa"/>
          </w:tcPr>
          <w:p>
            <w:pPr>
              <w:ind w:firstLine="420" w:firstLineChars="200"/>
              <w:jc w:val="left"/>
              <w:rPr>
                <w:rFonts w:hint="eastAsia" w:ascii="仿宋_GB2312" w:hAnsi="仿宋_GB2312" w:eastAsia="仿宋_GB2312" w:cs="仿宋_GB2312"/>
                <w:szCs w:val="21"/>
              </w:rPr>
            </w:pPr>
          </w:p>
        </w:tc>
        <w:tc>
          <w:tcPr>
            <w:tcW w:w="1856" w:type="dxa"/>
          </w:tcPr>
          <w:p>
            <w:pPr>
              <w:ind w:firstLine="420" w:firstLineChars="20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仿宋_GB2312" w:hAnsi="仿宋_GB2312" w:eastAsia="仿宋_GB2312" w:cs="仿宋_GB2312"/>
                <w:szCs w:val="21"/>
              </w:rPr>
            </w:pPr>
          </w:p>
        </w:tc>
        <w:tc>
          <w:tcPr>
            <w:tcW w:w="2399" w:type="dxa"/>
          </w:tcPr>
          <w:p>
            <w:pPr>
              <w:ind w:firstLine="420" w:firstLineChars="200"/>
              <w:jc w:val="left"/>
              <w:rPr>
                <w:rFonts w:hint="eastAsia" w:ascii="仿宋_GB2312" w:hAnsi="仿宋_GB2312" w:eastAsia="仿宋_GB2312" w:cs="仿宋_GB2312"/>
                <w:szCs w:val="21"/>
              </w:rPr>
            </w:pPr>
          </w:p>
        </w:tc>
        <w:tc>
          <w:tcPr>
            <w:tcW w:w="1630" w:type="dxa"/>
          </w:tcPr>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1538" w:type="dxa"/>
          </w:tcPr>
          <w:p>
            <w:pPr>
              <w:ind w:firstLine="420" w:firstLineChars="200"/>
              <w:jc w:val="left"/>
              <w:rPr>
                <w:rFonts w:hint="eastAsia" w:ascii="仿宋_GB2312" w:hAnsi="仿宋_GB2312" w:eastAsia="仿宋_GB2312" w:cs="仿宋_GB2312"/>
                <w:szCs w:val="21"/>
              </w:rPr>
            </w:pPr>
          </w:p>
        </w:tc>
        <w:tc>
          <w:tcPr>
            <w:tcW w:w="1713" w:type="dxa"/>
          </w:tcPr>
          <w:p>
            <w:pPr>
              <w:ind w:firstLine="420" w:firstLineChars="200"/>
              <w:jc w:val="left"/>
              <w:rPr>
                <w:rFonts w:hint="eastAsia" w:ascii="仿宋_GB2312" w:hAnsi="仿宋_GB2312" w:eastAsia="仿宋_GB2312" w:cs="仿宋_GB2312"/>
                <w:szCs w:val="21"/>
              </w:rPr>
            </w:pPr>
          </w:p>
        </w:tc>
        <w:tc>
          <w:tcPr>
            <w:tcW w:w="1856" w:type="dxa"/>
          </w:tcPr>
          <w:p>
            <w:pPr>
              <w:ind w:firstLine="420" w:firstLineChars="20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hint="eastAsia" w:ascii="仿宋_GB2312" w:hAnsi="仿宋_GB2312" w:eastAsia="仿宋_GB2312" w:cs="仿宋_GB2312"/>
                <w:szCs w:val="21"/>
              </w:rPr>
            </w:pPr>
          </w:p>
        </w:tc>
        <w:tc>
          <w:tcPr>
            <w:tcW w:w="2399" w:type="dxa"/>
          </w:tcPr>
          <w:p>
            <w:pPr>
              <w:ind w:firstLine="420" w:firstLineChars="200"/>
              <w:jc w:val="left"/>
              <w:rPr>
                <w:rFonts w:hint="eastAsia" w:ascii="仿宋_GB2312" w:hAnsi="仿宋_GB2312" w:eastAsia="仿宋_GB2312" w:cs="仿宋_GB2312"/>
                <w:szCs w:val="21"/>
              </w:rPr>
            </w:pPr>
          </w:p>
        </w:tc>
        <w:tc>
          <w:tcPr>
            <w:tcW w:w="1630" w:type="dxa"/>
          </w:tcPr>
          <w:p>
            <w:pPr>
              <w:ind w:firstLine="420" w:firstLineChars="200"/>
              <w:jc w:val="left"/>
              <w:rPr>
                <w:rFonts w:hint="eastAsia" w:ascii="仿宋_GB2312" w:hAnsi="仿宋_GB2312" w:eastAsia="仿宋_GB2312" w:cs="仿宋_GB2312"/>
                <w:szCs w:val="21"/>
              </w:rPr>
            </w:pPr>
          </w:p>
        </w:tc>
        <w:tc>
          <w:tcPr>
            <w:tcW w:w="1538" w:type="dxa"/>
          </w:tcPr>
          <w:p>
            <w:pPr>
              <w:ind w:firstLine="420" w:firstLineChars="200"/>
              <w:jc w:val="left"/>
              <w:rPr>
                <w:rFonts w:hint="eastAsia" w:ascii="仿宋_GB2312" w:hAnsi="仿宋_GB2312" w:eastAsia="仿宋_GB2312" w:cs="仿宋_GB2312"/>
                <w:szCs w:val="21"/>
              </w:rPr>
            </w:pPr>
          </w:p>
        </w:tc>
        <w:tc>
          <w:tcPr>
            <w:tcW w:w="1713" w:type="dxa"/>
          </w:tcPr>
          <w:p>
            <w:pPr>
              <w:ind w:firstLine="420" w:firstLineChars="200"/>
              <w:jc w:val="left"/>
              <w:rPr>
                <w:rFonts w:hint="eastAsia" w:ascii="仿宋_GB2312" w:hAnsi="仿宋_GB2312" w:eastAsia="仿宋_GB2312" w:cs="仿宋_GB2312"/>
                <w:szCs w:val="21"/>
              </w:rPr>
            </w:pPr>
          </w:p>
        </w:tc>
        <w:tc>
          <w:tcPr>
            <w:tcW w:w="1856" w:type="dxa"/>
          </w:tcPr>
          <w:p>
            <w:pPr>
              <w:ind w:firstLine="420" w:firstLineChars="20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hint="eastAsia" w:ascii="仿宋_GB2312" w:hAnsi="仿宋_GB2312" w:eastAsia="仿宋_GB2312" w:cs="仿宋_GB2312"/>
                <w:szCs w:val="21"/>
              </w:rPr>
            </w:pPr>
          </w:p>
        </w:tc>
        <w:tc>
          <w:tcPr>
            <w:tcW w:w="2399" w:type="dxa"/>
          </w:tcPr>
          <w:p>
            <w:pPr>
              <w:ind w:firstLine="420" w:firstLineChars="200"/>
              <w:jc w:val="left"/>
              <w:rPr>
                <w:rFonts w:hint="eastAsia" w:ascii="仿宋_GB2312" w:hAnsi="仿宋_GB2312" w:eastAsia="仿宋_GB2312" w:cs="仿宋_GB2312"/>
                <w:szCs w:val="21"/>
              </w:rPr>
            </w:pPr>
          </w:p>
        </w:tc>
        <w:tc>
          <w:tcPr>
            <w:tcW w:w="1630" w:type="dxa"/>
          </w:tcPr>
          <w:p>
            <w:pPr>
              <w:ind w:firstLine="420" w:firstLineChars="200"/>
              <w:jc w:val="left"/>
              <w:rPr>
                <w:rFonts w:hint="eastAsia" w:ascii="仿宋_GB2312" w:hAnsi="仿宋_GB2312" w:eastAsia="仿宋_GB2312" w:cs="仿宋_GB2312"/>
                <w:szCs w:val="21"/>
              </w:rPr>
            </w:pPr>
          </w:p>
        </w:tc>
        <w:tc>
          <w:tcPr>
            <w:tcW w:w="1538" w:type="dxa"/>
          </w:tcPr>
          <w:p>
            <w:pPr>
              <w:ind w:firstLine="420" w:firstLineChars="200"/>
              <w:jc w:val="left"/>
              <w:rPr>
                <w:rFonts w:hint="eastAsia" w:ascii="仿宋_GB2312" w:hAnsi="仿宋_GB2312" w:eastAsia="仿宋_GB2312" w:cs="仿宋_GB2312"/>
                <w:szCs w:val="21"/>
              </w:rPr>
            </w:pPr>
          </w:p>
        </w:tc>
        <w:tc>
          <w:tcPr>
            <w:tcW w:w="1713" w:type="dxa"/>
          </w:tcPr>
          <w:p>
            <w:pPr>
              <w:ind w:firstLine="420" w:firstLineChars="200"/>
              <w:jc w:val="left"/>
              <w:rPr>
                <w:rFonts w:hint="eastAsia" w:ascii="仿宋_GB2312" w:hAnsi="仿宋_GB2312" w:eastAsia="仿宋_GB2312" w:cs="仿宋_GB2312"/>
                <w:szCs w:val="21"/>
              </w:rPr>
            </w:pPr>
          </w:p>
        </w:tc>
        <w:tc>
          <w:tcPr>
            <w:tcW w:w="1856" w:type="dxa"/>
          </w:tcPr>
          <w:p>
            <w:pPr>
              <w:ind w:firstLine="420" w:firstLineChars="200"/>
              <w:jc w:val="left"/>
              <w:rPr>
                <w:rFonts w:hint="eastAsia" w:ascii="仿宋_GB2312" w:hAnsi="仿宋_GB2312" w:eastAsia="仿宋_GB2312" w:cs="仿宋_GB2312"/>
                <w:szCs w:val="21"/>
              </w:rPr>
            </w:pPr>
          </w:p>
        </w:tc>
      </w:tr>
    </w:tbl>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kern w:val="0"/>
          <w:sz w:val="28"/>
          <w:szCs w:val="28"/>
        </w:rPr>
      </w:pPr>
      <w:r>
        <w:rPr>
          <w:rFonts w:hint="eastAsia" w:asciiTheme="minorEastAsia" w:hAnsiTheme="minorEastAsia" w:eastAsiaTheme="minorEastAsia"/>
          <w:color w:val="000000"/>
          <w:kern w:val="0"/>
          <w:sz w:val="28"/>
          <w:szCs w:val="28"/>
        </w:rPr>
        <w:t>甲方：通辽市蒙牛乳制品有限责任公司</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承诺方：</w:t>
      </w:r>
    </w:p>
    <w:p>
      <w:pPr>
        <w:spacing w:line="336"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pStyle w:val="2"/>
        <w:ind w:left="0" w:leftChars="0" w:firstLine="0" w:firstLineChars="0"/>
        <w:rPr>
          <w:rFonts w:asciiTheme="minorEastAsia" w:hAnsiTheme="minorEastAsia"/>
        </w:rPr>
      </w:pPr>
      <w:r>
        <w:rPr>
          <w:rFonts w:hint="eastAsia" w:asciiTheme="minorEastAsia" w:hAnsiTheme="minorEastAsia"/>
          <w:color w:val="000000"/>
          <w:kern w:val="0"/>
          <w:sz w:val="28"/>
          <w:szCs w:val="28"/>
        </w:rPr>
        <w:t>日期：</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EEC32"/>
    <w:multiLevelType w:val="singleLevel"/>
    <w:tmpl w:val="2FEEEC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D3ABF"/>
    <w:rsid w:val="00504FC2"/>
    <w:rsid w:val="00525508"/>
    <w:rsid w:val="005258FA"/>
    <w:rsid w:val="00537D61"/>
    <w:rsid w:val="0055156D"/>
    <w:rsid w:val="00582DCB"/>
    <w:rsid w:val="00590CB8"/>
    <w:rsid w:val="005A01C3"/>
    <w:rsid w:val="005C06DB"/>
    <w:rsid w:val="006B493B"/>
    <w:rsid w:val="006E0EB4"/>
    <w:rsid w:val="0071652C"/>
    <w:rsid w:val="0076472C"/>
    <w:rsid w:val="0077309A"/>
    <w:rsid w:val="00776C95"/>
    <w:rsid w:val="00795FD5"/>
    <w:rsid w:val="007F46E7"/>
    <w:rsid w:val="0080085F"/>
    <w:rsid w:val="0083035A"/>
    <w:rsid w:val="008630D8"/>
    <w:rsid w:val="008D5360"/>
    <w:rsid w:val="00964DED"/>
    <w:rsid w:val="00966F15"/>
    <w:rsid w:val="009B29A3"/>
    <w:rsid w:val="00A13E06"/>
    <w:rsid w:val="00AA46FF"/>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35F0"/>
    <w:rsid w:val="00F95612"/>
    <w:rsid w:val="013158CA"/>
    <w:rsid w:val="01D34C9D"/>
    <w:rsid w:val="01D7691C"/>
    <w:rsid w:val="0334234C"/>
    <w:rsid w:val="03827F31"/>
    <w:rsid w:val="03A13222"/>
    <w:rsid w:val="05AB345F"/>
    <w:rsid w:val="05F75A7E"/>
    <w:rsid w:val="065E1E14"/>
    <w:rsid w:val="08E05D67"/>
    <w:rsid w:val="08E57E02"/>
    <w:rsid w:val="09535B12"/>
    <w:rsid w:val="09832785"/>
    <w:rsid w:val="09C02E5E"/>
    <w:rsid w:val="0A7131FA"/>
    <w:rsid w:val="0C061E87"/>
    <w:rsid w:val="0C1251D3"/>
    <w:rsid w:val="0D500143"/>
    <w:rsid w:val="0D854FEA"/>
    <w:rsid w:val="0E393CBB"/>
    <w:rsid w:val="0F291476"/>
    <w:rsid w:val="11441C44"/>
    <w:rsid w:val="125A3D3E"/>
    <w:rsid w:val="12D80B95"/>
    <w:rsid w:val="134021D8"/>
    <w:rsid w:val="1480264F"/>
    <w:rsid w:val="15131808"/>
    <w:rsid w:val="154A094A"/>
    <w:rsid w:val="158F4FEB"/>
    <w:rsid w:val="16A53958"/>
    <w:rsid w:val="19CB342B"/>
    <w:rsid w:val="1A382780"/>
    <w:rsid w:val="1B3E721E"/>
    <w:rsid w:val="1D692A36"/>
    <w:rsid w:val="1E326457"/>
    <w:rsid w:val="1E7D422D"/>
    <w:rsid w:val="1FFD2AFB"/>
    <w:rsid w:val="2039555C"/>
    <w:rsid w:val="21065D88"/>
    <w:rsid w:val="21CA5B3F"/>
    <w:rsid w:val="228D3DC0"/>
    <w:rsid w:val="23FD0A53"/>
    <w:rsid w:val="241E22BD"/>
    <w:rsid w:val="250D1EFE"/>
    <w:rsid w:val="252F1FCB"/>
    <w:rsid w:val="25793629"/>
    <w:rsid w:val="25B01ECC"/>
    <w:rsid w:val="26501A1B"/>
    <w:rsid w:val="271A7C97"/>
    <w:rsid w:val="28A63215"/>
    <w:rsid w:val="2B080904"/>
    <w:rsid w:val="2B162CB9"/>
    <w:rsid w:val="2C6A082E"/>
    <w:rsid w:val="2C92072F"/>
    <w:rsid w:val="2D8C6FB1"/>
    <w:rsid w:val="2E0C68D2"/>
    <w:rsid w:val="2EEE41BC"/>
    <w:rsid w:val="304A611B"/>
    <w:rsid w:val="30EE2644"/>
    <w:rsid w:val="31915845"/>
    <w:rsid w:val="31FA51E3"/>
    <w:rsid w:val="32665124"/>
    <w:rsid w:val="33BB67E7"/>
    <w:rsid w:val="33FD33AF"/>
    <w:rsid w:val="34FB4928"/>
    <w:rsid w:val="36062956"/>
    <w:rsid w:val="3702540A"/>
    <w:rsid w:val="38AA59D8"/>
    <w:rsid w:val="38B022DE"/>
    <w:rsid w:val="391926B4"/>
    <w:rsid w:val="3A7738D2"/>
    <w:rsid w:val="3C1346C7"/>
    <w:rsid w:val="3C473CD9"/>
    <w:rsid w:val="3E2A08D4"/>
    <w:rsid w:val="40C5787D"/>
    <w:rsid w:val="41596913"/>
    <w:rsid w:val="42CF6432"/>
    <w:rsid w:val="434972E7"/>
    <w:rsid w:val="448D5BEC"/>
    <w:rsid w:val="44CA468B"/>
    <w:rsid w:val="44F85DBB"/>
    <w:rsid w:val="47B92EA9"/>
    <w:rsid w:val="48523D98"/>
    <w:rsid w:val="49FA5BFD"/>
    <w:rsid w:val="4BA40D7E"/>
    <w:rsid w:val="4C2E0417"/>
    <w:rsid w:val="4C6357CF"/>
    <w:rsid w:val="4CE03190"/>
    <w:rsid w:val="4D992390"/>
    <w:rsid w:val="4FC5422B"/>
    <w:rsid w:val="4FE5550C"/>
    <w:rsid w:val="504F04A2"/>
    <w:rsid w:val="50913155"/>
    <w:rsid w:val="50E2723A"/>
    <w:rsid w:val="50FD0574"/>
    <w:rsid w:val="51436599"/>
    <w:rsid w:val="549746AF"/>
    <w:rsid w:val="553F1465"/>
    <w:rsid w:val="55AC6F98"/>
    <w:rsid w:val="58DF2354"/>
    <w:rsid w:val="593628A4"/>
    <w:rsid w:val="5A3A2DD2"/>
    <w:rsid w:val="5A6D122A"/>
    <w:rsid w:val="5B1C7A0D"/>
    <w:rsid w:val="5D3762C3"/>
    <w:rsid w:val="5E497C90"/>
    <w:rsid w:val="5EA97E2D"/>
    <w:rsid w:val="5ED44085"/>
    <w:rsid w:val="5ED4543F"/>
    <w:rsid w:val="5FAD37A1"/>
    <w:rsid w:val="5FF63B58"/>
    <w:rsid w:val="5FFD1C15"/>
    <w:rsid w:val="60827336"/>
    <w:rsid w:val="610456E3"/>
    <w:rsid w:val="63F435F4"/>
    <w:rsid w:val="64627780"/>
    <w:rsid w:val="64FD6333"/>
    <w:rsid w:val="65055400"/>
    <w:rsid w:val="655753E7"/>
    <w:rsid w:val="67785B3B"/>
    <w:rsid w:val="67A770EC"/>
    <w:rsid w:val="68847D26"/>
    <w:rsid w:val="68951DF3"/>
    <w:rsid w:val="69065708"/>
    <w:rsid w:val="69712C28"/>
    <w:rsid w:val="6A05798A"/>
    <w:rsid w:val="6A070B44"/>
    <w:rsid w:val="6A266BC1"/>
    <w:rsid w:val="6A517F5B"/>
    <w:rsid w:val="6A921117"/>
    <w:rsid w:val="6A987E06"/>
    <w:rsid w:val="6ABF4A1D"/>
    <w:rsid w:val="6B7268FE"/>
    <w:rsid w:val="6BAB07BF"/>
    <w:rsid w:val="6C806B04"/>
    <w:rsid w:val="6E396E83"/>
    <w:rsid w:val="6E525484"/>
    <w:rsid w:val="6ED75EF8"/>
    <w:rsid w:val="6FFF121A"/>
    <w:rsid w:val="707E1A6A"/>
    <w:rsid w:val="708E0CE6"/>
    <w:rsid w:val="711454F5"/>
    <w:rsid w:val="723F102E"/>
    <w:rsid w:val="736F005C"/>
    <w:rsid w:val="73B204BE"/>
    <w:rsid w:val="73F71677"/>
    <w:rsid w:val="74627E78"/>
    <w:rsid w:val="76BE2190"/>
    <w:rsid w:val="77624390"/>
    <w:rsid w:val="776B7ADF"/>
    <w:rsid w:val="77CE3804"/>
    <w:rsid w:val="78BB576E"/>
    <w:rsid w:val="78C22B4D"/>
    <w:rsid w:val="78C419A1"/>
    <w:rsid w:val="7BBC19DA"/>
    <w:rsid w:val="7C5424A1"/>
    <w:rsid w:val="7D5E1ADF"/>
    <w:rsid w:val="7D8A0DA1"/>
    <w:rsid w:val="7F7226AB"/>
    <w:rsid w:val="7FE5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Balloon Text"/>
    <w:basedOn w:val="1"/>
    <w:link w:val="13"/>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qFormat/>
    <w:uiPriority w:val="0"/>
    <w:rPr>
      <w:color w:val="0000FF"/>
      <w:u w:val="non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2045</Characters>
  <Lines>17</Lines>
  <Paragraphs>4</Paragraphs>
  <TotalTime>38</TotalTime>
  <ScaleCrop>false</ScaleCrop>
  <LinksUpToDate>false</LinksUpToDate>
  <CharactersWithSpaces>2399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Administrator</cp:lastModifiedBy>
  <dcterms:modified xsi:type="dcterms:W3CDTF">2021-01-06T00:58:49Z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