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蒙牛乳制品（天津）有限责任公司锅炉烟气在线监测项目</w:t>
      </w:r>
    </w:p>
    <w:p>
      <w:pPr>
        <w:widowControl/>
        <w:shd w:val="clear" w:color="auto" w:fill="FFFFFF"/>
        <w:snapToGrid w:val="0"/>
        <w:spacing w:line="360" w:lineRule="auto"/>
        <w:jc w:val="center"/>
        <w:rPr>
          <w:rFonts w:asciiTheme="minorEastAsia" w:hAnsiTheme="minorEastAsia" w:eastAsiaTheme="minorEastAsia" w:cstheme="minorEastAsia"/>
          <w:b/>
          <w:bCs/>
          <w:kern w:val="0"/>
          <w:sz w:val="10"/>
          <w:szCs w:val="10"/>
        </w:rPr>
      </w:pPr>
      <w:r>
        <w:rPr>
          <w:rFonts w:hint="eastAsia" w:asciiTheme="minorEastAsia" w:hAnsiTheme="minorEastAsia" w:eastAsiaTheme="minorEastAsia" w:cstheme="minorEastAsia"/>
          <w:b/>
          <w:bCs/>
          <w:kern w:val="0"/>
          <w:sz w:val="36"/>
          <w:szCs w:val="36"/>
        </w:rPr>
        <w:t>竞争性谈判信息公告</w:t>
      </w:r>
    </w:p>
    <w:p>
      <w:pPr>
        <w:widowControl/>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内蒙古华晟工程项目管理有限公司受蒙牛乳制品（天津）有限责任公司委托，</w:t>
      </w:r>
      <w:r>
        <w:rPr>
          <w:rFonts w:hint="eastAsia" w:asciiTheme="minorEastAsia" w:hAnsiTheme="minorEastAsia" w:eastAsiaTheme="minorEastAsia" w:cstheme="minorEastAsia"/>
          <w:sz w:val="28"/>
          <w:szCs w:val="28"/>
          <w:lang w:eastAsia="zh-Hans"/>
        </w:rPr>
        <w:t>现</w:t>
      </w:r>
      <w:r>
        <w:rPr>
          <w:rFonts w:hint="eastAsia" w:asciiTheme="minorEastAsia" w:hAnsiTheme="minorEastAsia" w:eastAsiaTheme="minorEastAsia" w:cstheme="minorEastAsia"/>
          <w:sz w:val="28"/>
          <w:szCs w:val="28"/>
        </w:rPr>
        <w:t>就蒙牛乳制品（天津）有限责任公司锅炉烟气在线监测项目进行竞争性谈判,欢迎符合资格条件的竞谈人参加。</w:t>
      </w:r>
    </w:p>
    <w:p>
      <w:pPr>
        <w:pStyle w:val="17"/>
        <w:numPr>
          <w:ilvl w:val="0"/>
          <w:numId w:val="1"/>
        </w:numPr>
        <w:adjustRightInd w:val="0"/>
        <w:snapToGrid w:val="0"/>
        <w:spacing w:line="360" w:lineRule="auto"/>
        <w:ind w:firstLineChars="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项目编号：MNCGJH-20221227-1016</w:t>
      </w:r>
    </w:p>
    <w:p>
      <w:pPr>
        <w:widowControl/>
        <w:numPr>
          <w:ilvl w:val="0"/>
          <w:numId w:val="2"/>
        </w:numPr>
        <w:shd w:val="clear" w:color="auto" w:fill="FFFFFF"/>
        <w:adjustRightInd w:val="0"/>
        <w:snapToGrid w:val="0"/>
        <w:spacing w:line="360" w:lineRule="auto"/>
        <w:ind w:firstLine="549" w:firstLineChars="19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项目名称：蒙牛乳制品（天津）有限责任公司锅炉烟气在线监测项目</w:t>
      </w:r>
    </w:p>
    <w:p>
      <w:pPr>
        <w:widowControl/>
        <w:numPr>
          <w:ilvl w:val="0"/>
          <w:numId w:val="2"/>
        </w:numPr>
        <w:shd w:val="clear" w:color="auto" w:fill="FFFFFF"/>
        <w:adjustRightInd w:val="0"/>
        <w:snapToGrid w:val="0"/>
        <w:spacing w:line="360" w:lineRule="auto"/>
        <w:ind w:firstLine="549" w:firstLineChars="19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项目概况：</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蒙牛乳制品（天津）有限责任公司应环保局要求，需购置锅炉排烟在线监测设备3套。</w:t>
      </w:r>
    </w:p>
    <w:p>
      <w:pPr>
        <w:adjustRightInd w:val="0"/>
        <w:snapToGrid w:val="0"/>
        <w:spacing w:line="360" w:lineRule="auto"/>
        <w:ind w:firstLine="561" w:firstLineChars="20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四、资格要求：</w:t>
      </w:r>
    </w:p>
    <w:p>
      <w:pPr>
        <w:adjustRightInd w:val="0"/>
        <w:snapToGrid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1、竞谈人必须是在中华人民共和国境内注册的具有独立法人资格的企业单位，注册资金在</w:t>
      </w:r>
      <w:r>
        <w:rPr>
          <w:rFonts w:hint="default"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t>0万元人民币（外币按注册时汇率计算）及以上，</w:t>
      </w:r>
      <w:r>
        <w:rPr>
          <w:rFonts w:hint="eastAsia" w:asciiTheme="minorEastAsia" w:hAnsiTheme="minorEastAsia" w:eastAsiaTheme="minorEastAsia" w:cstheme="minorEastAsia"/>
          <w:sz w:val="28"/>
          <w:szCs w:val="28"/>
        </w:rPr>
        <w:t>经营范围需包含</w:t>
      </w:r>
      <w:r>
        <w:rPr>
          <w:rFonts w:hint="eastAsia" w:asciiTheme="minorEastAsia" w:hAnsiTheme="minorEastAsia" w:eastAsiaTheme="minorEastAsia" w:cstheme="minorEastAsia"/>
          <w:sz w:val="28"/>
          <w:szCs w:val="28"/>
          <w:lang w:val="en-US" w:eastAsia="zh-CN"/>
        </w:rPr>
        <w:t>环境监测</w:t>
      </w:r>
      <w:r>
        <w:rPr>
          <w:rFonts w:hint="eastAsia" w:asciiTheme="minorEastAsia" w:hAnsiTheme="minorEastAsia" w:eastAsiaTheme="minorEastAsia" w:cstheme="minorEastAsia"/>
          <w:sz w:val="28"/>
          <w:szCs w:val="28"/>
        </w:rPr>
        <w:t>等相关内容</w:t>
      </w:r>
      <w:r>
        <w:rPr>
          <w:rFonts w:hint="default"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以企业营业执照为准。</w:t>
      </w:r>
    </w:p>
    <w:p>
      <w:pPr>
        <w:adjustRightInd w:val="0"/>
        <w:snapToGrid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2、竞谈人</w:t>
      </w:r>
      <w:r>
        <w:rPr>
          <w:rFonts w:hint="default" w:asciiTheme="minorEastAsia" w:hAnsiTheme="minorEastAsia" w:eastAsiaTheme="minorEastAsia" w:cstheme="minorEastAsia"/>
          <w:sz w:val="28"/>
          <w:szCs w:val="28"/>
        </w:rPr>
        <w:t>须</w:t>
      </w:r>
      <w:r>
        <w:rPr>
          <w:rFonts w:hint="eastAsia" w:asciiTheme="minorEastAsia" w:hAnsiTheme="minorEastAsia" w:eastAsiaTheme="minorEastAsia" w:cstheme="minorEastAsia"/>
          <w:sz w:val="28"/>
          <w:szCs w:val="28"/>
        </w:rPr>
        <w:t>具有销售和安装（以上两项需同时具备）能力的设备厂商或授权代理商，若是授权代理商，必须取得所投货物生产制造商出具的书面授权书；招标单位只接受生产厂家一份项目授权书。</w:t>
      </w:r>
    </w:p>
    <w:p>
      <w:pPr>
        <w:adjustRightInd w:val="0"/>
        <w:snapToGrid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3、竞谈人须具备一般纳税人资格。</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竞谈人须具有良好的商</w:t>
      </w:r>
      <w:r>
        <w:rPr>
          <w:rFonts w:hint="eastAsia" w:asciiTheme="minorEastAsia" w:hAnsiTheme="minorEastAsia" w:eastAsiaTheme="minorEastAsia" w:cstheme="minorEastAsia"/>
          <w:sz w:val="28"/>
          <w:szCs w:val="28"/>
          <w:highlight w:val="none"/>
        </w:rPr>
        <w:t>业信誉和财务状况</w:t>
      </w:r>
      <w:r>
        <w:rPr>
          <w:rFonts w:asciiTheme="minorEastAsia" w:hAnsiTheme="minorEastAsia" w:eastAsiaTheme="minorEastAsia" w:cstheme="minorEastAsia"/>
          <w:sz w:val="28"/>
          <w:szCs w:val="28"/>
          <w:highlight w:val="none"/>
        </w:rPr>
        <w:t>。</w:t>
      </w:r>
    </w:p>
    <w:p>
      <w:pPr>
        <w:adjustRightInd w:val="0"/>
        <w:snapToGrid w:val="0"/>
        <w:spacing w:line="360" w:lineRule="auto"/>
        <w:ind w:firstLine="560" w:firstLineChars="200"/>
        <w:jc w:val="distribute"/>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5、竞谈人2020年至今须具有</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个及以上类似项目业绩（以合同为准）。</w:t>
      </w:r>
    </w:p>
    <w:p>
      <w:pPr>
        <w:adjustRightInd w:val="0"/>
        <w:snapToGrid w:val="0"/>
        <w:spacing w:line="360" w:lineRule="auto"/>
        <w:ind w:firstLine="560" w:firstLineChars="200"/>
        <w:jc w:val="distribute"/>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6、竞谈人未被列入国家企业信用信息公示系统 （http://www.gsxt.gov.cn/index.html）严重违法失信企业名单</w:t>
      </w:r>
      <w:r>
        <w:rPr>
          <w:rFonts w:asciiTheme="minorEastAsia" w:hAnsiTheme="minorEastAsia" w:eastAsiaTheme="minorEastAsia" w:cstheme="minorEastAsia"/>
          <w:sz w:val="28"/>
          <w:szCs w:val="28"/>
          <w:highlight w:val="none"/>
        </w:rPr>
        <w:t>。</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7、与采购人存在利害关系可能影响采购招标</w:t>
      </w:r>
      <w:r>
        <w:rPr>
          <w:rFonts w:hint="eastAsia" w:asciiTheme="minorEastAsia" w:hAnsiTheme="minorEastAsia" w:eastAsiaTheme="minorEastAsia" w:cstheme="minorEastAsia"/>
          <w:sz w:val="28"/>
          <w:szCs w:val="28"/>
        </w:rPr>
        <w:t>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8、不接受中粮及蒙牛供应商黑名单（以蒙牛集团采购管理部下发的黑名单为准）的企业参与竞争</w:t>
      </w:r>
      <w:r>
        <w:rPr>
          <w:rFonts w:asciiTheme="minorEastAsia" w:hAnsiTheme="minorEastAsia" w:eastAsiaTheme="minorEastAsia" w:cstheme="minorEastAsia"/>
          <w:sz w:val="28"/>
          <w:szCs w:val="28"/>
        </w:rPr>
        <w:t>。</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9、本次招标不接受联合体投标，不允许分包或转包。</w:t>
      </w:r>
    </w:p>
    <w:p>
      <w:pPr>
        <w:adjustRightInd w:val="0"/>
        <w:snapToGrid w:val="0"/>
        <w:spacing w:line="360" w:lineRule="auto"/>
        <w:ind w:firstLine="561"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五、</w:t>
      </w:r>
      <w:r>
        <w:rPr>
          <w:rFonts w:hint="eastAsia" w:asciiTheme="minorEastAsia" w:hAnsiTheme="minorEastAsia" w:eastAsiaTheme="minorEastAsia" w:cstheme="minorEastAsia"/>
          <w:b/>
          <w:sz w:val="28"/>
          <w:szCs w:val="28"/>
        </w:rPr>
        <w:t>报名须知</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报名资格文件的组成及顺序按照如下要求提供：</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1、提供有效的营业执照（副本）；组织机构代码证（副本）；有效的税务登记证（副本）（或以上三项或三证合一营业执照（副本），有效的开户行许可证/基本存款账户信息。</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Hans"/>
        </w:rPr>
        <w:t>提供</w:t>
      </w:r>
      <w:r>
        <w:rPr>
          <w:rFonts w:hint="eastAsia" w:asciiTheme="minorEastAsia" w:hAnsiTheme="minorEastAsia" w:eastAsiaTheme="minorEastAsia" w:cstheme="minorEastAsia"/>
          <w:sz w:val="28"/>
          <w:szCs w:val="28"/>
        </w:rPr>
        <w:t>法定代表人证明书或授权委托书原件。</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备注：法定代表人须携带法人证明材料及身份证原件，若为被授权人须携带一份法人授权委托书和身份证原件及授权委托人近一年内在本单位的社保证明材料。</w:t>
      </w:r>
    </w:p>
    <w:p>
      <w:pPr>
        <w:numPr>
          <w:ilvl w:val="0"/>
          <w:numId w:val="3"/>
        </w:num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提供销售和安装（以上两项需同时具备）能力的设备厂商承诺书，若是授权代理商，提供所投标货物生产制造商出具的书面授权书；招标单位只接受生产厂家一份项目授权书。</w:t>
      </w:r>
    </w:p>
    <w:p>
      <w:pPr>
        <w:numPr>
          <w:ilvl w:val="0"/>
          <w:numId w:val="3"/>
        </w:num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提供一般纳税人认定资格证明材料。</w:t>
      </w:r>
    </w:p>
    <w:p>
      <w:pPr>
        <w:numPr>
          <w:ilvl w:val="0"/>
          <w:numId w:val="3"/>
        </w:num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提供</w:t>
      </w:r>
      <w:r>
        <w:rPr>
          <w:rFonts w:hint="eastAsia" w:asciiTheme="minorEastAsia" w:hAnsiTheme="minorEastAsia" w:eastAsiaTheme="minorEastAsia" w:cstheme="minorEastAsia"/>
          <w:sz w:val="28"/>
          <w:szCs w:val="28"/>
          <w:highlight w:val="none"/>
        </w:rPr>
        <w:t>2019、2020、2021年财务报表或经第三方出具的财务审计报告。</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6、提供本企业2020年1月1日</w:t>
      </w:r>
      <w:r>
        <w:rPr>
          <w:rFonts w:hint="eastAsia" w:asciiTheme="minorEastAsia" w:hAnsiTheme="minorEastAsia" w:eastAsiaTheme="minorEastAsia" w:cstheme="minorEastAsia"/>
          <w:sz w:val="28"/>
          <w:szCs w:val="28"/>
          <w:highlight w:val="none"/>
          <w:lang w:eastAsia="zh-Hans"/>
        </w:rPr>
        <w:t>至今</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个及以上类似项目业绩的证明材料（以合同为准）。</w:t>
      </w:r>
    </w:p>
    <w:p>
      <w:pPr>
        <w:adjustRightInd w:val="0"/>
        <w:snapToGrid w:val="0"/>
        <w:spacing w:line="360" w:lineRule="auto"/>
        <w:ind w:firstLine="560" w:firstLineChars="200"/>
        <w:jc w:val="distribut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7、提供未被列入国家企业信用信息公示系统（http://www.gsxt.gov.cn/index.html）严重违法失信企业名单截图。</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8、提供数据保密协议（附件2）。</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以上各类证书、证明材料应为原件的扫描件或复印件加盖公章，并按以上“组成及顺序”合并在一份PDF格式文件中，于报名截止时间前（如下）送到</w:t>
      </w:r>
      <w:r>
        <w:rPr>
          <w:rFonts w:hint="eastAsia" w:asciiTheme="minorEastAsia" w:hAnsiTheme="minorEastAsia" w:eastAsiaTheme="minorEastAsia" w:cstheme="minorEastAsia"/>
          <w:sz w:val="28"/>
          <w:szCs w:val="28"/>
          <w:lang w:eastAsia="zh-Hans"/>
        </w:rPr>
        <w:t>huangwei</w:t>
      </w:r>
      <w:r>
        <w:rPr>
          <w:rFonts w:hint="eastAsia" w:asciiTheme="minorEastAsia" w:hAnsiTheme="minorEastAsia" w:eastAsiaTheme="minorEastAsia" w:cstheme="minorEastAsia"/>
          <w:sz w:val="28"/>
          <w:szCs w:val="28"/>
        </w:rPr>
        <w:t>@nmghuasheng.com电子邮箱进行审查（过期发送不予受理），邮件主题为“单位名称+项目名称，邮件内容写清楚报名单位的联系人和联系电话”，审查合格后方可购买谈判文件。（仅作为发放竞谈文件的依据）。</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资料邮寄地址：内蒙古自治区呼和浩特市赛罕区锡林南路盈嘉国际综合楼27层（</w:t>
      </w:r>
      <w:r>
        <w:rPr>
          <w:rFonts w:hint="eastAsia" w:asciiTheme="minorEastAsia" w:hAnsiTheme="minorEastAsia" w:eastAsiaTheme="minorEastAsia" w:cstheme="minorEastAsia"/>
          <w:sz w:val="28"/>
          <w:szCs w:val="28"/>
          <w:lang w:eastAsia="zh-Hans"/>
        </w:rPr>
        <w:t>黄巍</w:t>
      </w:r>
      <w:r>
        <w:rPr>
          <w:rFonts w:hint="eastAsia" w:asciiTheme="minorEastAsia" w:hAnsiTheme="minorEastAsia" w:eastAsiaTheme="minorEastAsia" w:cstheme="minorEastAsia"/>
          <w:sz w:val="28"/>
          <w:szCs w:val="28"/>
        </w:rPr>
        <w:t>收13804703642）</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资料提供不全或者未按时间要求提报的将被拒绝接收，所提供的资质业绩文件中如有虚假情况，一经发现将被取消投标资格。</w:t>
      </w:r>
    </w:p>
    <w:p>
      <w:pPr>
        <w:adjustRightInd w:val="0"/>
        <w:snapToGrid w:val="0"/>
        <w:spacing w:line="360" w:lineRule="auto"/>
        <w:ind w:firstLine="561"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六、</w:t>
      </w:r>
      <w:r>
        <w:rPr>
          <w:rFonts w:hint="eastAsia" w:asciiTheme="minorEastAsia" w:hAnsiTheme="minorEastAsia" w:eastAsiaTheme="minorEastAsia" w:cstheme="minorEastAsia"/>
          <w:b/>
          <w:kern w:val="0"/>
          <w:sz w:val="28"/>
          <w:szCs w:val="28"/>
        </w:rPr>
        <w:t>项目时间安排及要求：</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1、报名时间：2023年01月0</w:t>
      </w:r>
      <w:r>
        <w:rPr>
          <w:rFonts w:hint="default"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t>日至2023年01月</w:t>
      </w:r>
      <w:r>
        <w:rPr>
          <w:rFonts w:hint="default"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t>日；</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2、资格预审时间：</w:t>
      </w:r>
      <w:r>
        <w:rPr>
          <w:rFonts w:hint="eastAsia" w:asciiTheme="minorEastAsia" w:hAnsiTheme="minorEastAsia" w:eastAsiaTheme="minorEastAsia" w:cstheme="minorEastAsia"/>
          <w:sz w:val="28"/>
          <w:szCs w:val="28"/>
        </w:rPr>
        <w:t>2023年01月0</w:t>
      </w:r>
      <w:r>
        <w:rPr>
          <w:rFonts w:hint="default"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t>日至2023年01月</w:t>
      </w:r>
      <w:r>
        <w:rPr>
          <w:rFonts w:hint="default"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rPr>
        <w:t>；</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3、谈判文件发售时间：</w:t>
      </w:r>
      <w:r>
        <w:rPr>
          <w:rFonts w:hint="eastAsia" w:asciiTheme="minorEastAsia" w:hAnsiTheme="minorEastAsia" w:eastAsiaTheme="minorEastAsia" w:cstheme="minorEastAsia"/>
          <w:sz w:val="28"/>
          <w:szCs w:val="28"/>
        </w:rPr>
        <w:t>2023年01月0</w:t>
      </w:r>
      <w:r>
        <w:rPr>
          <w:rFonts w:hint="default"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t>日至2023年01月</w:t>
      </w:r>
      <w:r>
        <w:rPr>
          <w:rFonts w:hint="default"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rPr>
        <w:t>发售谈判文件；</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谈判文件每套售价：</w:t>
      </w:r>
      <w:r>
        <w:rPr>
          <w:rFonts w:hint="eastAsia" w:asciiTheme="minorEastAsia" w:hAnsiTheme="minorEastAsia" w:eastAsiaTheme="minorEastAsia" w:cstheme="minorEastAsia"/>
          <w:sz w:val="28"/>
          <w:szCs w:val="28"/>
          <w:u w:val="single"/>
        </w:rPr>
        <w:t>200</w:t>
      </w:r>
      <w:r>
        <w:rPr>
          <w:rFonts w:hint="eastAsia" w:asciiTheme="minorEastAsia" w:hAnsiTheme="minorEastAsia" w:eastAsiaTheme="minorEastAsia" w:cstheme="minorEastAsia"/>
          <w:sz w:val="28"/>
          <w:szCs w:val="28"/>
        </w:rPr>
        <w:t>元，售后不退（汇款后将回执扫描后发联系人邮箱主题栏里写清楚项目名称）；</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具体打款信息如下：</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开户银行名称：兴业银行呼和浩特巨海城支行</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开户银行帐号：592120100100050715</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开户银行行号：309191002120</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账户名称：内蒙古华晟工程项目管理有限公司和林格尔分公司</w:t>
      </w:r>
    </w:p>
    <w:p>
      <w:pPr>
        <w:numPr>
          <w:ilvl w:val="0"/>
          <w:numId w:val="3"/>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谈判时间：2023年01月16日（具体以谈判文件为准）</w:t>
      </w:r>
    </w:p>
    <w:p>
      <w:pPr>
        <w:spacing w:line="360" w:lineRule="auto"/>
        <w:ind w:firstLine="561"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bCs/>
          <w:sz w:val="28"/>
          <w:szCs w:val="28"/>
        </w:rPr>
        <w:t>七、</w:t>
      </w:r>
      <w:r>
        <w:rPr>
          <w:rFonts w:hint="eastAsia" w:asciiTheme="minorEastAsia" w:hAnsiTheme="minorEastAsia" w:eastAsiaTheme="minorEastAsia" w:cstheme="minorEastAsia"/>
          <w:b/>
          <w:sz w:val="28"/>
          <w:szCs w:val="28"/>
        </w:rPr>
        <w:t>谈判地点：详见谈判文件</w:t>
      </w:r>
    </w:p>
    <w:p>
      <w:pPr>
        <w:adjustRightInd w:val="0"/>
        <w:snapToGrid w:val="0"/>
        <w:spacing w:line="360" w:lineRule="auto"/>
        <w:ind w:firstLine="561"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八、公告发布媒体：</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中国采购与招标网（http://www.chinabidding.com.cn）</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“蒙牛官网（http://www.mengniu.com.cn）及内部OA平台”</w:t>
      </w:r>
    </w:p>
    <w:p>
      <w:pPr>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此公告只在以上平台发布，其他任何媒体转载无效。</w:t>
      </w:r>
    </w:p>
    <w:p>
      <w:pPr>
        <w:adjustRightInd w:val="0"/>
        <w:snapToGrid w:val="0"/>
        <w:spacing w:line="360" w:lineRule="auto"/>
        <w:ind w:firstLine="561"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九、招标代理机构及联系方式：</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招标代理机构：内蒙古华晟工程项目管理有限公司</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报名联系人：黄巍（13804703642）/</w:t>
      </w:r>
      <w:r>
        <w:rPr>
          <w:rFonts w:hint="eastAsia" w:asciiTheme="minorEastAsia" w:hAnsiTheme="minorEastAsia" w:eastAsiaTheme="minorEastAsia" w:cstheme="minorEastAsia"/>
          <w:sz w:val="28"/>
          <w:szCs w:val="28"/>
          <w:lang w:eastAsia="zh-Hans"/>
        </w:rPr>
        <w:t>郭宇飞</w:t>
      </w:r>
      <w:r>
        <w:rPr>
          <w:rFonts w:hint="eastAsia" w:asciiTheme="minorEastAsia" w:hAnsiTheme="minorEastAsia" w:eastAsiaTheme="minorEastAsia" w:cstheme="minorEastAsia"/>
          <w:sz w:val="28"/>
          <w:szCs w:val="28"/>
        </w:rPr>
        <w:t>（13474917016）</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eastAsia="zh-Hans"/>
        </w:rPr>
        <w:t>0471-3957849/4918085-8023</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电子邮箱：</w:t>
      </w:r>
      <w:r>
        <w:rPr>
          <w:rFonts w:hint="eastAsia" w:asciiTheme="minorEastAsia" w:hAnsiTheme="minorEastAsia" w:eastAsiaTheme="minorEastAsia" w:cstheme="minorEastAsia"/>
          <w:sz w:val="28"/>
          <w:szCs w:val="28"/>
          <w:lang w:eastAsia="zh-Hans"/>
        </w:rPr>
        <w:t>huangwei</w:t>
      </w:r>
      <w:r>
        <w:rPr>
          <w:rFonts w:hint="eastAsia" w:asciiTheme="minorEastAsia" w:hAnsiTheme="minorEastAsia" w:eastAsiaTheme="minorEastAsia" w:cstheme="minorEastAsia"/>
          <w:sz w:val="28"/>
          <w:szCs w:val="28"/>
        </w:rPr>
        <w:t>@nmghuasheng.com</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bCs/>
          <w:sz w:val="28"/>
          <w:szCs w:val="28"/>
        </w:rPr>
        <w:t>内蒙古自治区呼和浩特市赛罕区锡林南路盈嘉国际综合楼27层</w:t>
      </w:r>
    </w:p>
    <w:p>
      <w:pPr>
        <w:adjustRightInd w:val="0"/>
        <w:snapToGrid w:val="0"/>
        <w:spacing w:line="360" w:lineRule="auto"/>
        <w:ind w:firstLine="561"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十、采购招标实施方及联系方式</w:t>
      </w:r>
      <w:r>
        <w:rPr>
          <w:rFonts w:hint="eastAsia" w:asciiTheme="minorEastAsia" w:hAnsiTheme="minorEastAsia" w:eastAsiaTheme="minorEastAsia" w:cstheme="minorEastAsia"/>
          <w:sz w:val="28"/>
          <w:szCs w:val="28"/>
        </w:rPr>
        <w:t>：</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采购方：蒙牛乳制品（天津）有限责任公司</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业务咨询联系人： 张佳影          联系方式：19932623211</w:t>
      </w:r>
    </w:p>
    <w:p>
      <w:pPr>
        <w:adjustRightInd w:val="0"/>
        <w:snapToGrid w:val="0"/>
        <w:spacing w:line="360" w:lineRule="auto"/>
        <w:ind w:firstLine="561"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十一、监督单位及联系方式：</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监督单位：内蒙古蒙牛乳业（集团）股份有限公司招投标管理部</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监 督 人: </w:t>
      </w:r>
      <w:r>
        <w:rPr>
          <w:rFonts w:hint="eastAsia" w:asciiTheme="minorEastAsia" w:hAnsiTheme="minorEastAsia" w:eastAsiaTheme="minorEastAsia" w:cstheme="minorEastAsia"/>
          <w:sz w:val="28"/>
          <w:szCs w:val="28"/>
          <w:lang w:val="en-US" w:eastAsia="zh-CN"/>
        </w:rPr>
        <w:t>潘宏</w:t>
      </w:r>
      <w:r>
        <w:rPr>
          <w:rFonts w:hint="eastAsia" w:asciiTheme="minorEastAsia" w:hAnsiTheme="minorEastAsia" w:eastAsiaTheme="minorEastAsia" w:cstheme="minorEastAsia"/>
          <w:sz w:val="28"/>
          <w:szCs w:val="28"/>
        </w:rPr>
        <w:t xml:space="preserve">       联系方式：18686095595</w:t>
      </w:r>
    </w:p>
    <w:p>
      <w:pPr>
        <w:adjustRightInd w:val="0"/>
        <w:snapToGrid w:val="0"/>
        <w:spacing w:line="360" w:lineRule="auto"/>
        <w:ind w:firstLine="560" w:firstLineChars="200"/>
        <w:rPr>
          <w:rFonts w:asciiTheme="minorEastAsia" w:hAnsiTheme="minorEastAsia" w:eastAsiaTheme="minorEastAsia" w:cstheme="minorEastAsia"/>
          <w:sz w:val="28"/>
          <w:szCs w:val="28"/>
        </w:rPr>
      </w:pP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附件：1.潜在竞谈单位所报标段信息表</w:t>
      </w:r>
    </w:p>
    <w:p>
      <w:pPr>
        <w:numPr>
          <w:ilvl w:val="0"/>
          <w:numId w:val="0"/>
        </w:numPr>
        <w:adjustRightInd w:val="0"/>
        <w:snapToGrid w:val="0"/>
        <w:spacing w:line="360" w:lineRule="auto"/>
        <w:ind w:left="1400"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数据保密协议</w:t>
      </w:r>
    </w:p>
    <w:p>
      <w:pPr>
        <w:pStyle w:val="2"/>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 xml:space="preserve">      3</w:t>
      </w:r>
      <w:r>
        <w:rPr>
          <w:rFonts w:hint="eastAsia" w:asciiTheme="minorEastAsia" w:hAnsiTheme="minorEastAsia" w:eastAsiaTheme="minorEastAsia" w:cstheme="minorEastAsia"/>
          <w:kern w:val="2"/>
          <w:sz w:val="28"/>
          <w:szCs w:val="28"/>
          <w:lang w:val="en-US" w:eastAsia="zh-CN" w:bidi="ar-SA"/>
        </w:rPr>
        <w:t>.法定代表人身份证明、法定代表人授权委托书</w:t>
      </w:r>
    </w:p>
    <w:p>
      <w:pPr>
        <w:pStyle w:val="2"/>
        <w:numPr>
          <w:ilvl w:val="0"/>
          <w:numId w:val="0"/>
        </w:numPr>
        <w:ind w:left="1400" w:leftChars="0"/>
        <w:rPr>
          <w:rFonts w:hint="default" w:eastAsia="宋体"/>
          <w:lang w:val="en-US" w:eastAsia="zh-CN"/>
        </w:rPr>
      </w:pPr>
    </w:p>
    <w:p>
      <w:pPr>
        <w:adjustRightInd w:val="0"/>
        <w:snapToGrid w:val="0"/>
        <w:spacing w:line="360" w:lineRule="auto"/>
        <w:ind w:firstLine="560" w:firstLineChars="200"/>
        <w:jc w:val="right"/>
        <w:rPr>
          <w:rFonts w:asciiTheme="minorEastAsia" w:hAnsiTheme="minorEastAsia" w:eastAsiaTheme="minorEastAsia" w:cstheme="minorEastAsia"/>
          <w:sz w:val="28"/>
          <w:szCs w:val="28"/>
          <w:lang w:eastAsia="zh-Hans"/>
        </w:rPr>
      </w:pPr>
    </w:p>
    <w:p>
      <w:pPr>
        <w:adjustRightInd w:val="0"/>
        <w:snapToGrid w:val="0"/>
        <w:spacing w:line="360" w:lineRule="auto"/>
        <w:ind w:firstLine="560" w:firstLineChars="2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蒙牛乳制品（天津）有限责任公司</w:t>
      </w:r>
    </w:p>
    <w:p>
      <w:pPr>
        <w:adjustRightInd w:val="0"/>
        <w:snapToGrid w:val="0"/>
        <w:spacing w:line="360" w:lineRule="auto"/>
        <w:ind w:firstLine="560" w:firstLineChars="2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内蒙古华晟工程项目管理有限公司</w:t>
      </w:r>
    </w:p>
    <w:p>
      <w:pPr>
        <w:adjustRightInd w:val="0"/>
        <w:snapToGrid w:val="0"/>
        <w:spacing w:line="360" w:lineRule="auto"/>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2023年01月</w:t>
      </w:r>
      <w:r>
        <w:rPr>
          <w:rFonts w:hint="default" w:asciiTheme="minorEastAsia" w:hAnsiTheme="minorEastAsia" w:eastAsiaTheme="minorEastAsia" w:cstheme="minorEastAsia"/>
          <w:sz w:val="28"/>
          <w:szCs w:val="28"/>
        </w:rPr>
        <w:t>05</w:t>
      </w:r>
      <w:bookmarkStart w:id="0" w:name="_GoBack"/>
      <w:bookmarkEnd w:id="0"/>
      <w:r>
        <w:rPr>
          <w:rFonts w:hint="eastAsia" w:asciiTheme="minorEastAsia" w:hAnsiTheme="minorEastAsia" w:eastAsiaTheme="minorEastAsia" w:cstheme="minorEastAsia"/>
          <w:sz w:val="28"/>
          <w:szCs w:val="28"/>
        </w:rPr>
        <w:t>日</w:t>
      </w:r>
    </w:p>
    <w:p>
      <w:pPr>
        <w:widowControl/>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w:t>
      </w: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潜在竞谈单位所报标段信息表</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2"/>
        <w:gridCol w:w="2045"/>
        <w:gridCol w:w="1218"/>
        <w:gridCol w:w="1148"/>
        <w:gridCol w:w="128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542" w:type="dxa"/>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标段（如有）</w:t>
            </w:r>
          </w:p>
        </w:tc>
        <w:tc>
          <w:tcPr>
            <w:tcW w:w="2045" w:type="dxa"/>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潜在竞谈单位名称</w:t>
            </w:r>
          </w:p>
        </w:tc>
        <w:tc>
          <w:tcPr>
            <w:tcW w:w="1218" w:type="dxa"/>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联系人</w:t>
            </w:r>
          </w:p>
        </w:tc>
        <w:tc>
          <w:tcPr>
            <w:tcW w:w="1148" w:type="dxa"/>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联系电话</w:t>
            </w:r>
          </w:p>
        </w:tc>
        <w:tc>
          <w:tcPr>
            <w:tcW w:w="1280" w:type="dxa"/>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邮箱地址</w:t>
            </w:r>
          </w:p>
        </w:tc>
        <w:tc>
          <w:tcPr>
            <w:tcW w:w="1388" w:type="dxa"/>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9" w:type="dxa"/>
          </w:tcPr>
          <w:p>
            <w:pPr>
              <w:spacing w:line="360" w:lineRule="auto"/>
              <w:ind w:firstLine="420" w:firstLineChars="200"/>
              <w:jc w:val="left"/>
              <w:rPr>
                <w:rFonts w:asciiTheme="minorEastAsia" w:hAnsiTheme="minorEastAsia" w:eastAsiaTheme="minorEastAsia" w:cstheme="minorEastAsia"/>
                <w:szCs w:val="21"/>
              </w:rPr>
            </w:pPr>
          </w:p>
        </w:tc>
        <w:tc>
          <w:tcPr>
            <w:tcW w:w="1542" w:type="dxa"/>
          </w:tcPr>
          <w:p>
            <w:pPr>
              <w:spacing w:line="360" w:lineRule="auto"/>
              <w:ind w:firstLine="420" w:firstLineChars="200"/>
              <w:jc w:val="left"/>
              <w:rPr>
                <w:rFonts w:asciiTheme="minorEastAsia" w:hAnsiTheme="minorEastAsia" w:eastAsiaTheme="minorEastAsia" w:cstheme="minorEastAsia"/>
                <w:szCs w:val="21"/>
              </w:rPr>
            </w:pPr>
          </w:p>
        </w:tc>
        <w:tc>
          <w:tcPr>
            <w:tcW w:w="2045" w:type="dxa"/>
          </w:tcPr>
          <w:p>
            <w:pPr>
              <w:spacing w:line="360" w:lineRule="auto"/>
              <w:ind w:firstLine="420" w:firstLineChars="200"/>
              <w:jc w:val="left"/>
              <w:rPr>
                <w:rFonts w:asciiTheme="minorEastAsia" w:hAnsiTheme="minorEastAsia" w:eastAsiaTheme="minorEastAsia" w:cstheme="minorEastAsia"/>
                <w:szCs w:val="21"/>
              </w:rPr>
            </w:pPr>
          </w:p>
        </w:tc>
        <w:tc>
          <w:tcPr>
            <w:tcW w:w="1218" w:type="dxa"/>
          </w:tcPr>
          <w:p>
            <w:pPr>
              <w:spacing w:line="360" w:lineRule="auto"/>
              <w:ind w:firstLine="420" w:firstLineChars="200"/>
              <w:jc w:val="left"/>
              <w:rPr>
                <w:rFonts w:asciiTheme="minorEastAsia" w:hAnsiTheme="minorEastAsia" w:eastAsiaTheme="minorEastAsia" w:cstheme="minorEastAsia"/>
                <w:szCs w:val="21"/>
              </w:rPr>
            </w:pPr>
          </w:p>
        </w:tc>
        <w:tc>
          <w:tcPr>
            <w:tcW w:w="1148" w:type="dxa"/>
          </w:tcPr>
          <w:p>
            <w:pPr>
              <w:spacing w:line="360" w:lineRule="auto"/>
              <w:ind w:firstLine="420" w:firstLineChars="200"/>
              <w:jc w:val="left"/>
              <w:rPr>
                <w:rFonts w:asciiTheme="minorEastAsia" w:hAnsiTheme="minorEastAsia" w:eastAsiaTheme="minorEastAsia" w:cstheme="minorEastAsia"/>
                <w:szCs w:val="21"/>
              </w:rPr>
            </w:pPr>
          </w:p>
        </w:tc>
        <w:tc>
          <w:tcPr>
            <w:tcW w:w="1280" w:type="dxa"/>
          </w:tcPr>
          <w:p>
            <w:pPr>
              <w:spacing w:line="360" w:lineRule="auto"/>
              <w:ind w:firstLine="420" w:firstLineChars="200"/>
              <w:jc w:val="left"/>
              <w:rPr>
                <w:rFonts w:asciiTheme="minorEastAsia" w:hAnsiTheme="minorEastAsia" w:eastAsiaTheme="minorEastAsia" w:cstheme="minorEastAsia"/>
                <w:szCs w:val="21"/>
              </w:rPr>
            </w:pPr>
          </w:p>
        </w:tc>
        <w:tc>
          <w:tcPr>
            <w:tcW w:w="1388" w:type="dxa"/>
          </w:tcPr>
          <w:p>
            <w:pPr>
              <w:spacing w:line="360" w:lineRule="auto"/>
              <w:ind w:firstLine="420" w:firstLineChars="200"/>
              <w:jc w:val="left"/>
              <w:rPr>
                <w:rFonts w:asciiTheme="minorEastAsia" w:hAnsiTheme="minorEastAsia" w:eastAsiaTheme="minorEastAsia" w:cstheme="minorEastAsia"/>
                <w:szCs w:val="21"/>
              </w:rPr>
            </w:pPr>
          </w:p>
        </w:tc>
      </w:tr>
    </w:tbl>
    <w:p>
      <w:pPr>
        <w:pStyle w:val="11"/>
        <w:spacing w:after="0" w:line="360" w:lineRule="auto"/>
        <w:ind w:firstLine="560"/>
        <w:rPr>
          <w:rFonts w:asciiTheme="minorEastAsia" w:hAnsiTheme="minorEastAsia" w:cstheme="minorEastAsia"/>
          <w:sz w:val="28"/>
          <w:szCs w:val="28"/>
        </w:rPr>
      </w:pPr>
    </w:p>
    <w:p>
      <w:pPr>
        <w:widowControl/>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w:t>
      </w: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数据保密协议</w:t>
      </w:r>
    </w:p>
    <w:p>
      <w:pPr>
        <w:spacing w:line="360" w:lineRule="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甲方：蒙牛乳制品（天津）有限责任公司</w:t>
      </w:r>
    </w:p>
    <w:p>
      <w:pPr>
        <w:spacing w:line="360" w:lineRule="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承诺方：</w:t>
      </w:r>
    </w:p>
    <w:p>
      <w:pPr>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双方经平等协商同意，自愿签订本协议，共同遵守本协议所列条款。</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第一条、保密的定义、内容和范围</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3、包括但不限于以直接、间接、口头或书面等形式提供商业秘密的行为均属泄密。 </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第二条、保密条款</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3、承诺方不得向第三方提供保密信息或由保密信息衍生的信息；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4、除了本协议确定的保密信息应用范围外，承诺方不得在任何时候使用保密信息。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5、本条款项下的义务适用于任何保密信息，或根据双方事先或目前协议由甲方提供给承诺方的其他专有和/或保密信息。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6、本协议终止后，承诺方应立即自费将保密信息物归原主，并归还所有含保密信息的文件或媒体及其复制件或摘要。</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 xml:space="preserve">第三条、双方的权利与义务  </w:t>
      </w:r>
    </w:p>
    <w:p>
      <w:pPr>
        <w:widowControl/>
        <w:adjustRightInd w:val="0"/>
        <w:snapToGrid w:val="0"/>
        <w:spacing w:line="360" w:lineRule="auto"/>
        <w:ind w:firstLine="565" w:firstLineChars="202"/>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1、承诺方应自觉维护甲方的利益，严格遵守本委托方的保密规定；</w:t>
      </w:r>
    </w:p>
    <w:p>
      <w:pPr>
        <w:widowControl/>
        <w:adjustRightInd w:val="0"/>
        <w:snapToGrid w:val="0"/>
        <w:spacing w:line="360" w:lineRule="auto"/>
        <w:ind w:left="568" w:leftChars="270" w:hanging="1"/>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2、承诺方不得向任何单位和个人泄露所掌握的商业秘密事项；</w:t>
      </w:r>
    </w:p>
    <w:p>
      <w:pPr>
        <w:widowControl/>
        <w:adjustRightInd w:val="0"/>
        <w:snapToGrid w:val="0"/>
        <w:spacing w:line="360" w:lineRule="auto"/>
        <w:ind w:left="568" w:leftChars="270" w:hanging="1"/>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3、承诺方不得利用所掌握的商业秘密牟取私利；</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4、承诺方了解并承认，由于技术服务等原因，承诺方有可能在某些情况下访问甲方数据。</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5、承诺方同意并承诺，对所有保密信息予以严格保密，在未得到甲方事先许可的情况下不得披露给任何第三人；</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 xml:space="preserve"> 第四条、本《协议》项下的保密义务不适用于如下信息：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1、由于承诺方以外其他渠道被他人获知的信息，这些渠道并不受保密义务的限制；</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2、由于法律的适用、法院或其他国家有权机关的要求而披露的信息。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3、另一方从不受保密限制的第三方获得的信息；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4、未参考保密信息而由另一方独立开发的信息；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第五条、如果</w:t>
      </w:r>
      <w:r>
        <w:rPr>
          <w:rFonts w:hint="eastAsia" w:asciiTheme="minorEastAsia" w:hAnsiTheme="minorEastAsia" w:eastAsiaTheme="minorEastAsia" w:cstheme="minorEastAsia"/>
          <w:kern w:val="0"/>
          <w:sz w:val="28"/>
          <w:szCs w:val="28"/>
        </w:rPr>
        <w:t>承诺方</w:t>
      </w:r>
      <w:r>
        <w:rPr>
          <w:rFonts w:hint="eastAsia" w:asciiTheme="minorEastAsia" w:hAnsiTheme="minorEastAsia" w:eastAsiaTheme="minorEastAsia" w:cstheme="minorEastAsia"/>
          <w:b/>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第六条、争议解决方式</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本协议适用中华人民共和国法律，因本协议引起或与本协议有关的任何争议，应由双方友好协商解决，协商不成的，双方同意选择第【1】种方式解决：</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1、向呼和浩特仲裁委员会申请仲裁。因仲裁产生的包括但不限于仲裁费、律师费、调查费、差旅费等，由败诉一方承担。</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 xml:space="preserve">第七条、此协议自签字盖章之日起生效。 </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（以下无正文） </w:t>
      </w:r>
      <w:r>
        <w:rPr>
          <w:rFonts w:hint="eastAsia" w:asciiTheme="minorEastAsia" w:hAnsiTheme="minorEastAsia" w:eastAsiaTheme="minorEastAsia" w:cstheme="minorEastAsia"/>
          <w:kern w:val="0"/>
          <w:sz w:val="28"/>
          <w:szCs w:val="28"/>
        </w:rPr>
        <w:tab/>
      </w:r>
      <w:r>
        <w:rPr>
          <w:rFonts w:hint="eastAsia" w:asciiTheme="minorEastAsia" w:hAnsiTheme="minorEastAsia" w:eastAsiaTheme="minorEastAsia" w:cstheme="minorEastAsia"/>
          <w:kern w:val="0"/>
          <w:sz w:val="28"/>
          <w:szCs w:val="28"/>
        </w:rPr>
        <w:tab/>
      </w:r>
      <w:r>
        <w:rPr>
          <w:rFonts w:hint="eastAsia" w:asciiTheme="minorEastAsia" w:hAnsiTheme="minorEastAsia" w:eastAsiaTheme="minorEastAsia" w:cstheme="minorEastAsia"/>
          <w:kern w:val="0"/>
          <w:sz w:val="28"/>
          <w:szCs w:val="28"/>
        </w:rPr>
        <w:t xml:space="preserve">                            </w:t>
      </w:r>
    </w:p>
    <w:p>
      <w:pPr>
        <w:widowControl/>
        <w:adjustRightInd w:val="0"/>
        <w:snapToGrid w:val="0"/>
        <w:spacing w:line="360" w:lineRule="auto"/>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承诺方：</w:t>
      </w:r>
    </w:p>
    <w:p>
      <w:pPr>
        <w:widowControl/>
        <w:adjustRightInd w:val="0"/>
        <w:snapToGrid w:val="0"/>
        <w:spacing w:line="360" w:lineRule="auto"/>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代表人：</w:t>
      </w:r>
    </w:p>
    <w:p>
      <w:pPr>
        <w:pStyle w:val="11"/>
        <w:spacing w:after="0" w:line="360" w:lineRule="auto"/>
        <w:ind w:left="0" w:leftChars="0" w:firstLine="0" w:firstLineChars="0"/>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日期：</w:t>
      </w:r>
    </w:p>
    <w:p>
      <w:pPr>
        <w:pStyle w:val="11"/>
        <w:spacing w:after="0" w:line="360" w:lineRule="auto"/>
        <w:ind w:left="0" w:leftChars="0" w:firstLine="0" w:firstLineChars="0"/>
        <w:rPr>
          <w:rFonts w:hint="eastAsia" w:asciiTheme="minorEastAsia" w:hAnsiTheme="minorEastAsia" w:cstheme="minorEastAsia"/>
          <w:kern w:val="0"/>
          <w:sz w:val="28"/>
          <w:szCs w:val="28"/>
        </w:rPr>
      </w:pPr>
    </w:p>
    <w:p>
      <w:pPr>
        <w:pStyle w:val="11"/>
        <w:spacing w:after="0" w:line="360" w:lineRule="auto"/>
        <w:ind w:left="0" w:leftChars="0" w:firstLine="0" w:firstLineChars="0"/>
        <w:rPr>
          <w:rFonts w:hint="eastAsia" w:asciiTheme="minorEastAsia" w:hAnsiTheme="minorEastAsia" w:cstheme="minorEastAsia"/>
          <w:kern w:val="0"/>
          <w:sz w:val="28"/>
          <w:szCs w:val="28"/>
        </w:rPr>
      </w:pPr>
    </w:p>
    <w:p>
      <w:pPr>
        <w:pStyle w:val="11"/>
        <w:spacing w:after="0" w:line="360" w:lineRule="auto"/>
        <w:ind w:left="0" w:leftChars="0" w:firstLine="0" w:firstLineChars="0"/>
        <w:rPr>
          <w:rFonts w:hint="eastAsia" w:asciiTheme="minorEastAsia" w:hAnsiTheme="minorEastAsia" w:cstheme="minorEastAsia"/>
          <w:kern w:val="0"/>
          <w:sz w:val="28"/>
          <w:szCs w:val="28"/>
        </w:rPr>
      </w:pPr>
    </w:p>
    <w:p>
      <w:pPr>
        <w:jc w:val="left"/>
        <w:rPr>
          <w:rFonts w:hint="eastAsia"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附件3.</w:t>
      </w:r>
    </w:p>
    <w:p>
      <w:pPr>
        <w:pStyle w:val="2"/>
        <w:rPr>
          <w:rFonts w:hint="eastAsia" w:asciiTheme="minorEastAsia" w:hAnsiTheme="minorEastAsia" w:cstheme="minorEastAsia"/>
          <w:kern w:val="0"/>
          <w:sz w:val="28"/>
          <w:szCs w:val="28"/>
          <w:lang w:val="en-US" w:eastAsia="zh-CN"/>
        </w:rPr>
      </w:pPr>
    </w:p>
    <w:p>
      <w:pPr>
        <w:pStyle w:val="2"/>
        <w:rPr>
          <w:rFonts w:hint="eastAsia" w:asciiTheme="minorEastAsia" w:hAnsiTheme="minorEastAsia" w:cstheme="minorEastAsia"/>
          <w:kern w:val="0"/>
          <w:sz w:val="28"/>
          <w:szCs w:val="28"/>
          <w:lang w:val="en-US" w:eastAsia="zh-CN"/>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spacing w:line="360" w:lineRule="auto"/>
        <w:ind w:right="1756" w:rightChars="836"/>
        <w:jc w:val="right"/>
        <w:rPr>
          <w:rFonts w:ascii="宋体" w:hAnsi="宋体"/>
          <w:sz w:val="24"/>
        </w:rPr>
      </w:pPr>
    </w:p>
    <w:p>
      <w:pPr>
        <w:ind w:right="1756" w:rightChars="83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jc w:val="center"/>
        <w:rPr>
          <w:rFonts w:hint="eastAsia" w:asciiTheme="minorEastAsia" w:hAnsiTheme="minorEastAsia" w:cstheme="minorEastAsia"/>
          <w:kern w:val="0"/>
          <w:sz w:val="28"/>
          <w:szCs w:val="28"/>
          <w:lang w:val="en-US" w:eastAsia="zh-CN"/>
        </w:rPr>
      </w:pP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u w:val="single"/>
        </w:rPr>
        <w:t xml:space="preserve"> </w:t>
      </w:r>
      <w:r>
        <w:rPr>
          <w:rFonts w:ascii="宋体" w:hAnsi="宋体"/>
          <w:sz w:val="24"/>
        </w:rPr>
        <w:t>：</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color w:val="000000"/>
          <w:sz w:val="24"/>
          <w:u w:val="single"/>
          <w:lang w:val="en-US" w:eastAsia="zh-CN"/>
        </w:rPr>
        <w:t>锅炉烟气在线监测</w:t>
      </w:r>
      <w:r>
        <w:rPr>
          <w:rFonts w:hint="eastAsia" w:ascii="宋体" w:hAnsi="宋体"/>
          <w:color w:val="000000"/>
          <w:sz w:val="24"/>
          <w:u w:val="none"/>
          <w:lang w:val="en-US" w:eastAsia="zh-CN"/>
        </w:rPr>
        <w:t>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12"/>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8"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tabs>
          <w:tab w:val="left" w:pos="700"/>
        </w:tabs>
        <w:bidi w:val="0"/>
        <w:jc w:val="left"/>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60DE"/>
    <w:multiLevelType w:val="multilevel"/>
    <w:tmpl w:val="57C860DE"/>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05E1371"/>
    <w:multiLevelType w:val="singleLevel"/>
    <w:tmpl w:val="605E1371"/>
    <w:lvl w:ilvl="0" w:tentative="0">
      <w:start w:val="2"/>
      <w:numFmt w:val="chineseCounting"/>
      <w:suff w:val="nothing"/>
      <w:lvlText w:val="%1、"/>
      <w:lvlJc w:val="left"/>
    </w:lvl>
  </w:abstractNum>
  <w:abstractNum w:abstractNumId="2">
    <w:nsid w:val="620B4E28"/>
    <w:multiLevelType w:val="singleLevel"/>
    <w:tmpl w:val="620B4E2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FE589C"/>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8086A"/>
    <w:rsid w:val="00084BA9"/>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3F8"/>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1F10"/>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7A21"/>
    <w:rsid w:val="0050404F"/>
    <w:rsid w:val="00506E25"/>
    <w:rsid w:val="00510396"/>
    <w:rsid w:val="00510925"/>
    <w:rsid w:val="00520AD9"/>
    <w:rsid w:val="00524997"/>
    <w:rsid w:val="00532DAA"/>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50138"/>
    <w:rsid w:val="00650256"/>
    <w:rsid w:val="00650A25"/>
    <w:rsid w:val="00654BC3"/>
    <w:rsid w:val="00656138"/>
    <w:rsid w:val="006619E5"/>
    <w:rsid w:val="00662468"/>
    <w:rsid w:val="00667E9E"/>
    <w:rsid w:val="00685946"/>
    <w:rsid w:val="00686782"/>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17C"/>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13"/>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87953"/>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273F"/>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17AB2"/>
    <w:rsid w:val="00C35FDD"/>
    <w:rsid w:val="00C365BF"/>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266F"/>
    <w:rsid w:val="00F83384"/>
    <w:rsid w:val="00F852C4"/>
    <w:rsid w:val="00F86B3A"/>
    <w:rsid w:val="00F86D5B"/>
    <w:rsid w:val="00F901A7"/>
    <w:rsid w:val="00F91132"/>
    <w:rsid w:val="00FA3415"/>
    <w:rsid w:val="00FA4DA3"/>
    <w:rsid w:val="00FA5A70"/>
    <w:rsid w:val="00FB053D"/>
    <w:rsid w:val="00FB46A5"/>
    <w:rsid w:val="00FC1209"/>
    <w:rsid w:val="00FC4657"/>
    <w:rsid w:val="00FC55D9"/>
    <w:rsid w:val="00FD1A69"/>
    <w:rsid w:val="00FD39C3"/>
    <w:rsid w:val="00FD4A54"/>
    <w:rsid w:val="00FD5D4B"/>
    <w:rsid w:val="00FD5FBE"/>
    <w:rsid w:val="00FD73B4"/>
    <w:rsid w:val="00FE16CE"/>
    <w:rsid w:val="00FE589C"/>
    <w:rsid w:val="00FE62DC"/>
    <w:rsid w:val="00FE7161"/>
    <w:rsid w:val="00FF26F2"/>
    <w:rsid w:val="013328AA"/>
    <w:rsid w:val="025B398D"/>
    <w:rsid w:val="03396A75"/>
    <w:rsid w:val="03FF7F4D"/>
    <w:rsid w:val="04EC3C01"/>
    <w:rsid w:val="05210C49"/>
    <w:rsid w:val="05D20705"/>
    <w:rsid w:val="06215549"/>
    <w:rsid w:val="06A360C2"/>
    <w:rsid w:val="06B540D2"/>
    <w:rsid w:val="074701C4"/>
    <w:rsid w:val="087757EB"/>
    <w:rsid w:val="092C697E"/>
    <w:rsid w:val="09A95281"/>
    <w:rsid w:val="0ACC0BD7"/>
    <w:rsid w:val="0B177B03"/>
    <w:rsid w:val="0BC615A2"/>
    <w:rsid w:val="0C78283D"/>
    <w:rsid w:val="0D1B5FC6"/>
    <w:rsid w:val="0D657E5E"/>
    <w:rsid w:val="0DB2155C"/>
    <w:rsid w:val="0DDF6A90"/>
    <w:rsid w:val="0F98167A"/>
    <w:rsid w:val="0FFB56E1"/>
    <w:rsid w:val="0FFF6CF0"/>
    <w:rsid w:val="100A09EA"/>
    <w:rsid w:val="10AA19C2"/>
    <w:rsid w:val="10B95F8E"/>
    <w:rsid w:val="11CF4373"/>
    <w:rsid w:val="1220376C"/>
    <w:rsid w:val="127B536B"/>
    <w:rsid w:val="14745DB2"/>
    <w:rsid w:val="14DF1309"/>
    <w:rsid w:val="150B5B30"/>
    <w:rsid w:val="151B7D83"/>
    <w:rsid w:val="156D6E2E"/>
    <w:rsid w:val="16F44753"/>
    <w:rsid w:val="1779465F"/>
    <w:rsid w:val="17D4504B"/>
    <w:rsid w:val="199E4F47"/>
    <w:rsid w:val="19A12DEB"/>
    <w:rsid w:val="19D516F7"/>
    <w:rsid w:val="1AB01DE5"/>
    <w:rsid w:val="1C365333"/>
    <w:rsid w:val="1D197DFC"/>
    <w:rsid w:val="1D1A5680"/>
    <w:rsid w:val="1DBB0E8E"/>
    <w:rsid w:val="1DE37937"/>
    <w:rsid w:val="1EA908B4"/>
    <w:rsid w:val="1F38650F"/>
    <w:rsid w:val="1FA66331"/>
    <w:rsid w:val="1FDC3861"/>
    <w:rsid w:val="20566C4C"/>
    <w:rsid w:val="20B8181F"/>
    <w:rsid w:val="21DE3799"/>
    <w:rsid w:val="228D4259"/>
    <w:rsid w:val="22964ED5"/>
    <w:rsid w:val="229E518B"/>
    <w:rsid w:val="23083C6E"/>
    <w:rsid w:val="24805A88"/>
    <w:rsid w:val="249E281E"/>
    <w:rsid w:val="24CA3613"/>
    <w:rsid w:val="25645F55"/>
    <w:rsid w:val="26037828"/>
    <w:rsid w:val="26052219"/>
    <w:rsid w:val="27AD2ECC"/>
    <w:rsid w:val="28D948BF"/>
    <w:rsid w:val="2A0D2069"/>
    <w:rsid w:val="2AC8270A"/>
    <w:rsid w:val="2B2F00A1"/>
    <w:rsid w:val="2BB26B40"/>
    <w:rsid w:val="2C330B51"/>
    <w:rsid w:val="2C7174B9"/>
    <w:rsid w:val="2CCA11E6"/>
    <w:rsid w:val="2CDE377D"/>
    <w:rsid w:val="2D0D05CB"/>
    <w:rsid w:val="2E134C05"/>
    <w:rsid w:val="2E754011"/>
    <w:rsid w:val="2F2C2755"/>
    <w:rsid w:val="2F636903"/>
    <w:rsid w:val="2F903A2D"/>
    <w:rsid w:val="30A95BF8"/>
    <w:rsid w:val="30AC45DC"/>
    <w:rsid w:val="310838D8"/>
    <w:rsid w:val="324F225D"/>
    <w:rsid w:val="32D06680"/>
    <w:rsid w:val="334F3707"/>
    <w:rsid w:val="34B41873"/>
    <w:rsid w:val="352F0261"/>
    <w:rsid w:val="35357F3F"/>
    <w:rsid w:val="3830430D"/>
    <w:rsid w:val="38FE7A4A"/>
    <w:rsid w:val="3917608B"/>
    <w:rsid w:val="3A3F6855"/>
    <w:rsid w:val="3B294B5E"/>
    <w:rsid w:val="3BFE93B0"/>
    <w:rsid w:val="3C3C1061"/>
    <w:rsid w:val="3CBF1958"/>
    <w:rsid w:val="3CC64025"/>
    <w:rsid w:val="3DB500A1"/>
    <w:rsid w:val="402D0F68"/>
    <w:rsid w:val="4055115C"/>
    <w:rsid w:val="411B408F"/>
    <w:rsid w:val="4121425A"/>
    <w:rsid w:val="41295049"/>
    <w:rsid w:val="4195228E"/>
    <w:rsid w:val="42450EE2"/>
    <w:rsid w:val="42CD67C4"/>
    <w:rsid w:val="435A1B2F"/>
    <w:rsid w:val="454F7B26"/>
    <w:rsid w:val="45F77A2D"/>
    <w:rsid w:val="475F22C8"/>
    <w:rsid w:val="497C5C27"/>
    <w:rsid w:val="4B2F253A"/>
    <w:rsid w:val="4B370BDC"/>
    <w:rsid w:val="4B417145"/>
    <w:rsid w:val="4BED2270"/>
    <w:rsid w:val="4BFC2EBE"/>
    <w:rsid w:val="4C486AD9"/>
    <w:rsid w:val="4CBE0157"/>
    <w:rsid w:val="4D863A8F"/>
    <w:rsid w:val="4D9D1BCB"/>
    <w:rsid w:val="4DAB79C8"/>
    <w:rsid w:val="4DE136AC"/>
    <w:rsid w:val="4E4B32D8"/>
    <w:rsid w:val="4E7147EF"/>
    <w:rsid w:val="4EE64B01"/>
    <w:rsid w:val="4FAD34A3"/>
    <w:rsid w:val="4FF6B2ED"/>
    <w:rsid w:val="50115ABD"/>
    <w:rsid w:val="5025247B"/>
    <w:rsid w:val="503F6851"/>
    <w:rsid w:val="506E04B6"/>
    <w:rsid w:val="514B732D"/>
    <w:rsid w:val="51A115C7"/>
    <w:rsid w:val="528140BC"/>
    <w:rsid w:val="52E44D65"/>
    <w:rsid w:val="54580A3D"/>
    <w:rsid w:val="54B073C5"/>
    <w:rsid w:val="56FF0435"/>
    <w:rsid w:val="577E5FEA"/>
    <w:rsid w:val="57991F30"/>
    <w:rsid w:val="57D927D1"/>
    <w:rsid w:val="58606975"/>
    <w:rsid w:val="59282B75"/>
    <w:rsid w:val="598A7839"/>
    <w:rsid w:val="59E8609E"/>
    <w:rsid w:val="5A283E83"/>
    <w:rsid w:val="5A7645F8"/>
    <w:rsid w:val="5BAD60A4"/>
    <w:rsid w:val="5BF4460A"/>
    <w:rsid w:val="5C2A57AD"/>
    <w:rsid w:val="5D1404EB"/>
    <w:rsid w:val="5D7F416C"/>
    <w:rsid w:val="5E351A19"/>
    <w:rsid w:val="5F9023E4"/>
    <w:rsid w:val="60787ECC"/>
    <w:rsid w:val="608447A3"/>
    <w:rsid w:val="610D4955"/>
    <w:rsid w:val="61CC7834"/>
    <w:rsid w:val="63023DC6"/>
    <w:rsid w:val="63317169"/>
    <w:rsid w:val="636D6C72"/>
    <w:rsid w:val="648B0ACF"/>
    <w:rsid w:val="64953371"/>
    <w:rsid w:val="64D74B64"/>
    <w:rsid w:val="64E37763"/>
    <w:rsid w:val="65443991"/>
    <w:rsid w:val="65944781"/>
    <w:rsid w:val="67470C34"/>
    <w:rsid w:val="67CE2012"/>
    <w:rsid w:val="69186302"/>
    <w:rsid w:val="69746A9E"/>
    <w:rsid w:val="699E7C8E"/>
    <w:rsid w:val="69AE3F6C"/>
    <w:rsid w:val="69DD2570"/>
    <w:rsid w:val="69F569D8"/>
    <w:rsid w:val="6A0B0409"/>
    <w:rsid w:val="6BC03605"/>
    <w:rsid w:val="6BCB1646"/>
    <w:rsid w:val="6CA30A4B"/>
    <w:rsid w:val="6CB724A7"/>
    <w:rsid w:val="6CC10C8E"/>
    <w:rsid w:val="6CFC7FBB"/>
    <w:rsid w:val="6DDF43C8"/>
    <w:rsid w:val="6E352CE2"/>
    <w:rsid w:val="6E86276D"/>
    <w:rsid w:val="6F5969EF"/>
    <w:rsid w:val="6FBF0E3C"/>
    <w:rsid w:val="70025ED8"/>
    <w:rsid w:val="70612CDA"/>
    <w:rsid w:val="70A92A27"/>
    <w:rsid w:val="71350900"/>
    <w:rsid w:val="71CE3BD4"/>
    <w:rsid w:val="71DE7EA3"/>
    <w:rsid w:val="72C70CBE"/>
    <w:rsid w:val="732628EC"/>
    <w:rsid w:val="73DD2FAD"/>
    <w:rsid w:val="73F75DEF"/>
    <w:rsid w:val="756D573F"/>
    <w:rsid w:val="75FD2E9D"/>
    <w:rsid w:val="76947A22"/>
    <w:rsid w:val="769A7FC0"/>
    <w:rsid w:val="77C2689C"/>
    <w:rsid w:val="78772AEC"/>
    <w:rsid w:val="79182DF3"/>
    <w:rsid w:val="797D44CB"/>
    <w:rsid w:val="79F94FF7"/>
    <w:rsid w:val="7A1A573F"/>
    <w:rsid w:val="7B286E76"/>
    <w:rsid w:val="7B78265F"/>
    <w:rsid w:val="7BB8016E"/>
    <w:rsid w:val="7BD37E14"/>
    <w:rsid w:val="7BF81913"/>
    <w:rsid w:val="7C7976D2"/>
    <w:rsid w:val="7CDC616D"/>
    <w:rsid w:val="7D0F523E"/>
    <w:rsid w:val="7D347005"/>
    <w:rsid w:val="7D6C33E3"/>
    <w:rsid w:val="7E065EBC"/>
    <w:rsid w:val="7E4EF7A1"/>
    <w:rsid w:val="7E524511"/>
    <w:rsid w:val="7E6C3F09"/>
    <w:rsid w:val="7E9FB8F9"/>
    <w:rsid w:val="7EA82B88"/>
    <w:rsid w:val="7F014E72"/>
    <w:rsid w:val="7F3F3A1B"/>
    <w:rsid w:val="7F7A5966"/>
    <w:rsid w:val="7FD22643"/>
    <w:rsid w:val="8DA8B56F"/>
    <w:rsid w:val="A7FB477E"/>
    <w:rsid w:val="ACFF2E30"/>
    <w:rsid w:val="AD9F27D8"/>
    <w:rsid w:val="BD9F2D53"/>
    <w:rsid w:val="BDDEC814"/>
    <w:rsid w:val="BEDB0EAF"/>
    <w:rsid w:val="BFFF3749"/>
    <w:rsid w:val="C77F89FF"/>
    <w:rsid w:val="D1D61F11"/>
    <w:rsid w:val="D472FF7E"/>
    <w:rsid w:val="D8962413"/>
    <w:rsid w:val="DAFD239E"/>
    <w:rsid w:val="DEBCA0EF"/>
    <w:rsid w:val="DF9FE184"/>
    <w:rsid w:val="DFF13DA1"/>
    <w:rsid w:val="DFF7FE04"/>
    <w:rsid w:val="E61AA7BB"/>
    <w:rsid w:val="EFCF9639"/>
    <w:rsid w:val="EFDBC5C2"/>
    <w:rsid w:val="EFEFB90C"/>
    <w:rsid w:val="EFF7588E"/>
    <w:rsid w:val="F537BD69"/>
    <w:rsid w:val="F6FBB079"/>
    <w:rsid w:val="F7DA5EA5"/>
    <w:rsid w:val="F9F77763"/>
    <w:rsid w:val="FAF26138"/>
    <w:rsid w:val="FB4FF6EF"/>
    <w:rsid w:val="FB9FEDFB"/>
    <w:rsid w:val="FBDFBDBD"/>
    <w:rsid w:val="FDFD351B"/>
    <w:rsid w:val="FEAF8010"/>
    <w:rsid w:val="FED11FC2"/>
    <w:rsid w:val="FFDB4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21"/>
    <w:unhideWhenUsed/>
    <w:qFormat/>
    <w:uiPriority w:val="99"/>
    <w:pPr>
      <w:jc w:val="left"/>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20"/>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22"/>
    <w:unhideWhenUsed/>
    <w:qFormat/>
    <w:uiPriority w:val="99"/>
    <w:rPr>
      <w:b/>
      <w:bCs/>
    </w:rPr>
  </w:style>
  <w:style w:type="paragraph" w:styleId="11">
    <w:name w:val="Body Text First Indent 2"/>
    <w:basedOn w:val="5"/>
    <w:qFormat/>
    <w:uiPriority w:val="0"/>
    <w:pPr>
      <w:ind w:firstLine="420" w:firstLineChars="200"/>
    </w:pPr>
    <w:rPr>
      <w:rFonts w:ascii="Times New Roman"/>
    </w:rPr>
  </w:style>
  <w:style w:type="character" w:styleId="14">
    <w:name w:val="annotation reference"/>
    <w:basedOn w:val="13"/>
    <w:unhideWhenUsed/>
    <w:qFormat/>
    <w:uiPriority w:val="99"/>
    <w:rPr>
      <w:sz w:val="21"/>
      <w:szCs w:val="21"/>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列出段落1"/>
    <w:basedOn w:val="1"/>
    <w:qFormat/>
    <w:uiPriority w:val="99"/>
    <w:pPr>
      <w:ind w:firstLine="420" w:firstLineChars="200"/>
    </w:pPr>
  </w:style>
  <w:style w:type="character" w:customStyle="1" w:styleId="18">
    <w:name w:val="不明显强调1"/>
    <w:basedOn w:val="13"/>
    <w:qFormat/>
    <w:uiPriority w:val="19"/>
    <w:rPr>
      <w:i/>
      <w:iCs/>
      <w:color w:val="808080" w:themeColor="text1" w:themeTint="80"/>
      <w14:textFill>
        <w14:solidFill>
          <w14:schemeClr w14:val="tx1">
            <w14:lumMod w14:val="50000"/>
            <w14:lumOff w14:val="50000"/>
          </w14:schemeClr>
        </w14:solidFill>
      </w14:textFill>
    </w:rPr>
  </w:style>
  <w:style w:type="paragraph" w:customStyle="1" w:styleId="19">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0">
    <w:name w:val="批注框文本 Char"/>
    <w:basedOn w:val="13"/>
    <w:link w:val="6"/>
    <w:semiHidden/>
    <w:qFormat/>
    <w:uiPriority w:val="99"/>
    <w:rPr>
      <w:kern w:val="2"/>
      <w:sz w:val="18"/>
      <w:szCs w:val="18"/>
    </w:rPr>
  </w:style>
  <w:style w:type="character" w:customStyle="1" w:styleId="21">
    <w:name w:val="批注文字 Char"/>
    <w:basedOn w:val="13"/>
    <w:link w:val="4"/>
    <w:semiHidden/>
    <w:qFormat/>
    <w:uiPriority w:val="99"/>
    <w:rPr>
      <w:kern w:val="2"/>
      <w:sz w:val="21"/>
      <w:szCs w:val="24"/>
    </w:rPr>
  </w:style>
  <w:style w:type="character" w:customStyle="1" w:styleId="22">
    <w:name w:val="批注主题 Char"/>
    <w:basedOn w:val="21"/>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Pages>
  <Words>3872</Words>
  <Characters>4235</Characters>
  <Lines>29</Lines>
  <Paragraphs>8</Paragraphs>
  <TotalTime>0</TotalTime>
  <ScaleCrop>false</ScaleCrop>
  <LinksUpToDate>false</LinksUpToDate>
  <CharactersWithSpaces>4585</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2021-12-18T22:17:00Z</dcterms:created>
  <dc:creator>刘海燕</dc:creator>
  <cp:lastModifiedBy>佳影咯</cp:lastModifiedBy>
  <dcterms:modified xsi:type="dcterms:W3CDTF">2023-01-05T16:07:06Z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23CF79DE93044CB9994476122D9B3436</vt:lpwstr>
  </property>
</Properties>
</file>