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line="360" w:lineRule="auto"/>
        <w:jc w:val="center"/>
        <w:rPr>
          <w:rFonts w:ascii="仿宋" w:hAnsi="仿宋" w:eastAsia="仿宋" w:cs="仿宋"/>
          <w:b/>
          <w:bCs/>
          <w:kern w:val="0"/>
          <w:sz w:val="36"/>
          <w:szCs w:val="36"/>
        </w:rPr>
      </w:pPr>
    </w:p>
    <w:p>
      <w:pPr>
        <w:widowControl/>
        <w:shd w:val="clear" w:color="auto" w:fill="FFFFFF"/>
        <w:snapToGrid w:val="0"/>
        <w:spacing w:line="360" w:lineRule="auto"/>
        <w:jc w:val="center"/>
        <w:rPr>
          <w:rFonts w:ascii="宋体" w:hAnsi="宋体" w:cs="宋体"/>
          <w:b/>
          <w:bCs/>
          <w:kern w:val="0"/>
          <w:sz w:val="28"/>
          <w:szCs w:val="28"/>
        </w:rPr>
      </w:pPr>
      <w:r>
        <w:rPr>
          <w:rFonts w:hint="eastAsia" w:ascii="仿宋" w:hAnsi="仿宋" w:eastAsia="仿宋" w:cs="仿宋"/>
          <w:b/>
          <w:bCs/>
          <w:kern w:val="0"/>
          <w:sz w:val="36"/>
          <w:szCs w:val="36"/>
        </w:rPr>
        <w:t>蒙牛高科乳制品武汉有限责任公司武汉工厂VI广告制作集中采购项目竞争性谈判信息公告</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内蒙古华晟工程项目管理有限公司受蒙牛高科乳制品武汉有限</w:t>
      </w:r>
      <w:r>
        <w:rPr>
          <w:rFonts w:hint="eastAsia" w:ascii="仿宋" w:hAnsi="仿宋" w:eastAsia="仿宋" w:cs="仿宋"/>
          <w:sz w:val="28"/>
          <w:szCs w:val="28"/>
          <w:lang w:val="en-US" w:eastAsia="zh-CN"/>
        </w:rPr>
        <w:t>责任</w:t>
      </w:r>
      <w:r>
        <w:rPr>
          <w:rFonts w:hint="eastAsia" w:ascii="仿宋" w:hAnsi="仿宋" w:eastAsia="仿宋" w:cs="仿宋"/>
          <w:sz w:val="28"/>
          <w:szCs w:val="28"/>
        </w:rPr>
        <w:t>公司委托，就武汉工厂VI广告制作集中采购项目进行竞争性谈判，欢迎符合资格条件的供应商参加。</w:t>
      </w:r>
    </w:p>
    <w:p>
      <w:pPr>
        <w:pStyle w:val="11"/>
        <w:numPr>
          <w:ilvl w:val="0"/>
          <w:numId w:val="1"/>
        </w:numPr>
        <w:adjustRightInd w:val="0"/>
        <w:snapToGrid w:val="0"/>
        <w:spacing w:line="360" w:lineRule="auto"/>
        <w:ind w:firstLineChars="0"/>
        <w:rPr>
          <w:rFonts w:ascii="仿宋" w:hAnsi="仿宋" w:eastAsia="仿宋" w:cs="仿宋"/>
          <w:b/>
          <w:kern w:val="0"/>
          <w:sz w:val="28"/>
          <w:szCs w:val="28"/>
        </w:rPr>
      </w:pPr>
      <w:r>
        <w:rPr>
          <w:rFonts w:hint="eastAsia" w:ascii="仿宋" w:hAnsi="仿宋" w:eastAsia="仿宋" w:cs="仿宋"/>
          <w:b/>
          <w:kern w:val="0"/>
          <w:sz w:val="28"/>
          <w:szCs w:val="28"/>
        </w:rPr>
        <w:t xml:space="preserve">项目编号：MNCGJH-20230423-0006  </w:t>
      </w:r>
    </w:p>
    <w:p>
      <w:pPr>
        <w:widowControl/>
        <w:numPr>
          <w:ilvl w:val="0"/>
          <w:numId w:val="2"/>
        </w:numPr>
        <w:shd w:val="clear" w:color="auto" w:fill="FFFFFF"/>
        <w:adjustRightInd w:val="0"/>
        <w:snapToGrid w:val="0"/>
        <w:spacing w:line="360" w:lineRule="auto"/>
        <w:ind w:firstLine="551" w:firstLineChars="196"/>
        <w:rPr>
          <w:rFonts w:ascii="仿宋" w:hAnsi="仿宋" w:eastAsia="仿宋" w:cs="仿宋"/>
          <w:b/>
          <w:kern w:val="0"/>
          <w:sz w:val="28"/>
          <w:szCs w:val="28"/>
        </w:rPr>
      </w:pPr>
      <w:r>
        <w:rPr>
          <w:rFonts w:hint="eastAsia" w:ascii="仿宋" w:hAnsi="仿宋" w:eastAsia="仿宋" w:cs="仿宋"/>
          <w:b/>
          <w:kern w:val="0"/>
          <w:sz w:val="28"/>
          <w:szCs w:val="28"/>
        </w:rPr>
        <w:t>项目名称：武汉工厂VI广告制作集中采购项目</w:t>
      </w:r>
    </w:p>
    <w:p>
      <w:pPr>
        <w:widowControl/>
        <w:numPr>
          <w:ilvl w:val="0"/>
          <w:numId w:val="2"/>
        </w:numPr>
        <w:shd w:val="clear" w:color="auto" w:fill="FFFFFF"/>
        <w:adjustRightInd w:val="0"/>
        <w:snapToGrid w:val="0"/>
        <w:spacing w:line="360" w:lineRule="auto"/>
        <w:ind w:firstLine="590"/>
        <w:rPr>
          <w:rFonts w:ascii="仿宋" w:hAnsi="仿宋" w:eastAsia="仿宋" w:cs="仿宋"/>
          <w:sz w:val="28"/>
          <w:szCs w:val="28"/>
        </w:rPr>
      </w:pPr>
      <w:r>
        <w:rPr>
          <w:rFonts w:hint="eastAsia" w:ascii="仿宋" w:hAnsi="仿宋" w:eastAsia="仿宋" w:cs="仿宋"/>
          <w:b/>
          <w:kern w:val="0"/>
          <w:sz w:val="28"/>
          <w:szCs w:val="28"/>
        </w:rPr>
        <w:t>项目概况：</w:t>
      </w:r>
    </w:p>
    <w:p>
      <w:pPr>
        <w:pStyle w:val="7"/>
        <w:spacing w:after="0" w:line="360" w:lineRule="auto"/>
        <w:ind w:left="0" w:leftChars="0" w:firstLine="560"/>
        <w:rPr>
          <w:rFonts w:ascii="仿宋" w:hAnsi="仿宋" w:eastAsia="仿宋" w:cs="仿宋"/>
          <w:sz w:val="28"/>
          <w:szCs w:val="28"/>
        </w:rPr>
      </w:pPr>
      <w:r>
        <w:rPr>
          <w:rFonts w:hint="eastAsia" w:ascii="仿宋" w:hAnsi="仿宋" w:eastAsia="仿宋" w:cs="仿宋"/>
          <w:sz w:val="28"/>
          <w:szCs w:val="28"/>
        </w:rPr>
        <w:t>武汉工厂（低温+常温+鲜奶）结合中心下发的VI标准化手册内容，现需对VI广告制作项目进行集中采招。</w:t>
      </w:r>
    </w:p>
    <w:p>
      <w:pPr>
        <w:numPr>
          <w:ilvl w:val="0"/>
          <w:numId w:val="2"/>
        </w:numPr>
        <w:adjustRightInd w:val="0"/>
        <w:snapToGrid w:val="0"/>
        <w:spacing w:line="360" w:lineRule="auto"/>
        <w:ind w:firstLine="551" w:firstLineChars="196"/>
        <w:rPr>
          <w:rFonts w:ascii="仿宋" w:hAnsi="仿宋" w:eastAsia="仿宋" w:cs="仿宋"/>
          <w:b/>
          <w:kern w:val="0"/>
          <w:sz w:val="28"/>
          <w:szCs w:val="28"/>
        </w:rPr>
      </w:pPr>
      <w:r>
        <w:rPr>
          <w:rFonts w:hint="eastAsia" w:ascii="仿宋" w:hAnsi="仿宋" w:eastAsia="仿宋" w:cs="仿宋"/>
          <w:b/>
          <w:kern w:val="0"/>
          <w:sz w:val="28"/>
          <w:szCs w:val="28"/>
        </w:rPr>
        <w:t>资格要求：</w:t>
      </w:r>
    </w:p>
    <w:p>
      <w:pPr>
        <w:adjustRightInd w:val="0"/>
        <w:snapToGrid w:val="0"/>
        <w:spacing w:line="360" w:lineRule="auto"/>
        <w:ind w:firstLine="560" w:firstLineChars="200"/>
        <w:jc w:val="left"/>
        <w:rPr>
          <w:rFonts w:ascii="仿宋" w:hAnsi="仿宋" w:eastAsia="仿宋" w:cs="仿宋"/>
          <w:color w:val="000000"/>
          <w:sz w:val="28"/>
          <w:szCs w:val="28"/>
          <w:lang w:eastAsia="zh-Hans"/>
        </w:rPr>
      </w:pPr>
      <w:r>
        <w:rPr>
          <w:rFonts w:hint="eastAsia" w:ascii="仿宋" w:hAnsi="仿宋" w:eastAsia="仿宋" w:cs="仿宋"/>
          <w:sz w:val="28"/>
          <w:szCs w:val="28"/>
        </w:rPr>
        <w:t>1、竞谈人必须是在中华人民共和国境内注册的具有独立法人资格的企业单位，注册资金在100万人民币（外币按注册时汇率计算）及以上，营业执照经营范围中需</w:t>
      </w:r>
      <w:r>
        <w:rPr>
          <w:rFonts w:hint="eastAsia" w:ascii="仿宋" w:hAnsi="仿宋" w:eastAsia="仿宋" w:cs="仿宋"/>
          <w:sz w:val="28"/>
          <w:szCs w:val="28"/>
          <w:lang w:val="en-US" w:eastAsia="zh-CN"/>
        </w:rPr>
        <w:t>包含</w:t>
      </w:r>
      <w:r>
        <w:rPr>
          <w:rFonts w:hint="eastAsia" w:ascii="仿宋" w:hAnsi="仿宋" w:eastAsia="仿宋" w:cs="仿宋"/>
          <w:sz w:val="28"/>
          <w:szCs w:val="28"/>
        </w:rPr>
        <w:t>广告、设计制作或装饰设计等方面内容，以企业营业执照为准</w:t>
      </w:r>
      <w:r>
        <w:rPr>
          <w:rFonts w:hint="eastAsia" w:ascii="仿宋" w:hAnsi="仿宋" w:eastAsia="仿宋" w:cs="仿宋"/>
          <w:color w:val="000000"/>
          <w:sz w:val="28"/>
          <w:szCs w:val="28"/>
          <w:lang w:eastAsia="zh-Hans"/>
        </w:rPr>
        <w:t>；</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2、竞谈人近三年（202</w:t>
      </w:r>
      <w:r>
        <w:rPr>
          <w:rFonts w:ascii="仿宋" w:hAnsi="仿宋" w:eastAsia="仿宋" w:cs="仿宋"/>
          <w:sz w:val="28"/>
          <w:szCs w:val="28"/>
        </w:rPr>
        <w:t>0</w:t>
      </w:r>
      <w:r>
        <w:rPr>
          <w:rFonts w:hint="eastAsia" w:ascii="仿宋" w:hAnsi="仿宋" w:eastAsia="仿宋" w:cs="仿宋"/>
          <w:sz w:val="28"/>
          <w:szCs w:val="28"/>
        </w:rPr>
        <w:t>年至今）须具有两个及以上类似项目业绩（以合同为准）；</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3、竞谈人近三年须具有良好的商业信誉和财务状况；</w:t>
      </w:r>
    </w:p>
    <w:p>
      <w:pPr>
        <w:pStyle w:val="2"/>
        <w:spacing w:line="360" w:lineRule="auto"/>
        <w:ind w:firstLine="560"/>
        <w:rPr>
          <w:rFonts w:ascii="仿宋" w:hAnsi="仿宋" w:eastAsia="仿宋" w:cs="仿宋"/>
          <w:sz w:val="28"/>
          <w:szCs w:val="28"/>
        </w:rPr>
      </w:pPr>
      <w:r>
        <w:rPr>
          <w:rFonts w:hint="eastAsia" w:ascii="仿宋" w:hAnsi="仿宋" w:eastAsia="仿宋" w:cs="仿宋"/>
          <w:sz w:val="28"/>
          <w:szCs w:val="28"/>
        </w:rPr>
        <w:t>4、竞谈人须具有一般纳税人资格；</w:t>
      </w:r>
    </w:p>
    <w:p>
      <w:pPr>
        <w:pStyle w:val="2"/>
        <w:spacing w:line="360" w:lineRule="auto"/>
        <w:ind w:firstLine="560"/>
        <w:rPr>
          <w:rFonts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、竞谈人未被列入国家企业信用信息公示系统 （http://www.gsxt.gov.cn/index.html）严重违法失信企业名单；</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竞谈人参与竞谈；</w:t>
      </w:r>
    </w:p>
    <w:p>
      <w:pPr>
        <w:pStyle w:val="7"/>
        <w:ind w:left="0" w:leftChars="0" w:firstLine="560"/>
      </w:pPr>
      <w:r>
        <w:rPr>
          <w:rFonts w:hint="eastAsia" w:ascii="仿宋" w:hAnsi="仿宋" w:eastAsia="仿宋" w:cs="仿宋"/>
          <w:sz w:val="28"/>
          <w:szCs w:val="28"/>
          <w:lang w:val="en-US" w:eastAsia="zh-CN"/>
        </w:rPr>
        <w:t>7</w:t>
      </w:r>
      <w:r>
        <w:rPr>
          <w:rFonts w:hint="eastAsia" w:ascii="仿宋" w:hAnsi="仿宋" w:eastAsia="仿宋" w:cs="仿宋"/>
          <w:sz w:val="28"/>
          <w:szCs w:val="28"/>
        </w:rPr>
        <w:t>、本次竞谈不接受多家单位联合报价，不允许分包或转包；</w:t>
      </w:r>
    </w:p>
    <w:p>
      <w:pPr>
        <w:pStyle w:val="2"/>
        <w:spacing w:line="360" w:lineRule="auto"/>
        <w:ind w:firstLine="560"/>
        <w:rPr>
          <w:rFonts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、不接受中粮及蒙牛供应商黑名单（以蒙牛集团采购执行管理部下发的黑名单为准）的企业参与竞争。</w:t>
      </w:r>
    </w:p>
    <w:p>
      <w:pPr>
        <w:adjustRightInd w:val="0"/>
        <w:snapToGrid w:val="0"/>
        <w:spacing w:line="360" w:lineRule="auto"/>
        <w:ind w:firstLine="562" w:firstLineChars="200"/>
        <w:rPr>
          <w:rFonts w:ascii="仿宋" w:hAnsi="仿宋" w:eastAsia="仿宋" w:cs="仿宋"/>
          <w:color w:val="000000"/>
          <w:sz w:val="28"/>
          <w:szCs w:val="28"/>
        </w:rPr>
      </w:pPr>
      <w:r>
        <w:rPr>
          <w:rFonts w:hint="eastAsia" w:ascii="仿宋" w:hAnsi="仿宋" w:eastAsia="仿宋" w:cs="仿宋"/>
          <w:b/>
          <w:kern w:val="0"/>
          <w:sz w:val="28"/>
          <w:szCs w:val="28"/>
        </w:rPr>
        <w:t>五、</w:t>
      </w:r>
      <w:r>
        <w:rPr>
          <w:rFonts w:hint="eastAsia" w:ascii="仿宋" w:hAnsi="仿宋" w:eastAsia="仿宋" w:cs="仿宋"/>
          <w:b/>
          <w:sz w:val="28"/>
          <w:szCs w:val="28"/>
        </w:rPr>
        <w:t>报名须知</w:t>
      </w:r>
    </w:p>
    <w:p>
      <w:pPr>
        <w:pStyle w:val="3"/>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报名资格文件的组成及顺序按照如下要求提供：</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sz w:val="28"/>
          <w:szCs w:val="28"/>
        </w:rPr>
        <w:t>1、提供有效的营业执照（副本）；</w:t>
      </w:r>
    </w:p>
    <w:p>
      <w:pPr>
        <w:pStyle w:val="3"/>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w:t>
      </w:r>
      <w:r>
        <w:rPr>
          <w:rFonts w:hint="eastAsia" w:ascii="仿宋" w:hAnsi="仿宋" w:eastAsia="仿宋" w:cs="仿宋"/>
          <w:color w:val="000000"/>
          <w:sz w:val="28"/>
          <w:szCs w:val="28"/>
          <w:lang w:eastAsia="zh-Hans"/>
        </w:rPr>
        <w:t>提供</w:t>
      </w:r>
      <w:r>
        <w:rPr>
          <w:rFonts w:hint="eastAsia" w:ascii="仿宋" w:hAnsi="仿宋" w:eastAsia="仿宋" w:cs="仿宋"/>
          <w:color w:val="000000"/>
          <w:sz w:val="28"/>
          <w:szCs w:val="28"/>
        </w:rPr>
        <w:t>法定代表人证明书或授权委托书原件；</w:t>
      </w:r>
    </w:p>
    <w:p>
      <w:pPr>
        <w:pStyle w:val="3"/>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备注：法定代表人须上传法人证明材料及身份证原件，若为被授权人须上传一份法人授权委托书和身份证原件及授权委托人近一年内在本单位的社保证明材料；</w:t>
      </w:r>
    </w:p>
    <w:p>
      <w:pPr>
        <w:pStyle w:val="3"/>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3、提供近三年（202</w:t>
      </w:r>
      <w:r>
        <w:rPr>
          <w:rFonts w:ascii="仿宋" w:hAnsi="仿宋" w:eastAsia="仿宋" w:cs="仿宋"/>
          <w:color w:val="000000"/>
          <w:sz w:val="28"/>
          <w:szCs w:val="28"/>
        </w:rPr>
        <w:t>0</w:t>
      </w:r>
      <w:r>
        <w:rPr>
          <w:rFonts w:hint="eastAsia" w:ascii="仿宋" w:hAnsi="仿宋" w:eastAsia="仿宋" w:cs="仿宋"/>
          <w:color w:val="000000"/>
          <w:sz w:val="28"/>
          <w:szCs w:val="28"/>
        </w:rPr>
        <w:t>年至今）两个及以上类似项目业绩的证明材料（以合同为准）；</w:t>
      </w:r>
    </w:p>
    <w:p>
      <w:pPr>
        <w:pStyle w:val="3"/>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4、提供近三年财务报表或经第三方出具的财务审计报告</w:t>
      </w:r>
      <w:r>
        <w:rPr>
          <w:rFonts w:hint="eastAsia" w:ascii="仿宋" w:hAnsi="仿宋" w:eastAsia="仿宋" w:cs="仿宋"/>
          <w:sz w:val="28"/>
          <w:szCs w:val="28"/>
        </w:rPr>
        <w:t>；</w:t>
      </w:r>
    </w:p>
    <w:p>
      <w:pPr>
        <w:pStyle w:val="3"/>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5、提供一般纳税人认定资格证明材料；</w:t>
      </w:r>
    </w:p>
    <w:p>
      <w:pPr>
        <w:pStyle w:val="3"/>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、提供未被列入国家企业信用信息公示系统（http://www.gsxt.gov.cn/index.html）严重违法失信企业名单截图；</w:t>
      </w:r>
    </w:p>
    <w:p>
      <w:pPr>
        <w:pStyle w:val="3"/>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rPr>
        <w:t>、提供数据保密协议（附件2）。</w:t>
      </w:r>
    </w:p>
    <w:p>
      <w:pPr>
        <w:adjustRightInd w:val="0"/>
        <w:snapToGrid w:val="0"/>
        <w:spacing w:line="360" w:lineRule="auto"/>
        <w:ind w:firstLine="560" w:firstLineChars="200"/>
        <w:jc w:val="left"/>
        <w:rPr>
          <w:rFonts w:ascii="仿宋" w:hAnsi="仿宋" w:eastAsia="仿宋" w:cs="仿宋"/>
          <w:bCs/>
          <w:sz w:val="28"/>
          <w:szCs w:val="28"/>
        </w:rPr>
      </w:pPr>
      <w:r>
        <w:rPr>
          <w:rFonts w:hint="eastAsia" w:ascii="仿宋" w:hAnsi="仿宋" w:eastAsia="仿宋" w:cs="仿宋"/>
          <w:bCs/>
          <w:sz w:val="28"/>
          <w:szCs w:val="28"/>
        </w:rPr>
        <w:t>以上各类证书、证明材料应为原件的扫描件或复印件加盖公章，并按以上“组成及顺序”合并在一份PDF格式文件中，于</w:t>
      </w:r>
      <w:r>
        <w:rPr>
          <w:rFonts w:hint="eastAsia" w:ascii="仿宋" w:hAnsi="仿宋" w:eastAsia="仿宋" w:cs="仿宋"/>
          <w:bCs/>
          <w:sz w:val="28"/>
          <w:szCs w:val="28"/>
          <w:lang w:eastAsia="zh-Hans"/>
        </w:rPr>
        <w:t>报名</w:t>
      </w:r>
      <w:r>
        <w:rPr>
          <w:rFonts w:hint="eastAsia" w:ascii="仿宋" w:hAnsi="仿宋" w:eastAsia="仿宋" w:cs="仿宋"/>
          <w:bCs/>
          <w:sz w:val="28"/>
          <w:szCs w:val="28"/>
        </w:rPr>
        <w:t>截止时间前（如下）送到liyanfeng@nmghuasheng.com电子邮箱进行审查（过期发送不予受理），邮件主题为“单位名称+项目名称，邮件内容写清楚报名单位的联系人和联系电话”，审查合格后方可购买谈判文件（仅作为发放竞谈文件的依据）。</w:t>
      </w:r>
    </w:p>
    <w:p>
      <w:pPr>
        <w:adjustRightInd w:val="0"/>
        <w:snapToGrid w:val="0"/>
        <w:spacing w:line="360" w:lineRule="auto"/>
        <w:ind w:firstLine="560" w:firstLineChars="200"/>
        <w:jc w:val="left"/>
        <w:rPr>
          <w:rFonts w:ascii="仿宋" w:hAnsi="仿宋" w:eastAsia="仿宋" w:cs="仿宋"/>
          <w:bCs/>
          <w:sz w:val="28"/>
          <w:szCs w:val="28"/>
        </w:rPr>
      </w:pPr>
      <w:r>
        <w:rPr>
          <w:rFonts w:hint="eastAsia" w:ascii="仿宋" w:hAnsi="仿宋" w:eastAsia="仿宋" w:cs="仿宋"/>
          <w:bCs/>
          <w:sz w:val="28"/>
          <w:szCs w:val="28"/>
        </w:rPr>
        <w:t>以上报名资料需在提交电子版资质文件审核通过后，所有文件的复印件并加盖公章邮寄（纸质资料发快递）至报名联系人处，作为资格审查材料（以上内容必须清晰、易辨认，否则将被视为没有提供有效证件）一式两份。</w:t>
      </w:r>
    </w:p>
    <w:p>
      <w:pPr>
        <w:adjustRightInd w:val="0"/>
        <w:snapToGrid w:val="0"/>
        <w:spacing w:line="360" w:lineRule="auto"/>
        <w:ind w:firstLine="560" w:firstLineChars="200"/>
        <w:jc w:val="left"/>
        <w:rPr>
          <w:rFonts w:ascii="仿宋" w:hAnsi="仿宋" w:eastAsia="仿宋" w:cs="仿宋"/>
          <w:bCs/>
          <w:sz w:val="28"/>
          <w:szCs w:val="28"/>
        </w:rPr>
      </w:pPr>
      <w:r>
        <w:rPr>
          <w:rFonts w:hint="eastAsia" w:ascii="仿宋" w:hAnsi="仿宋" w:eastAsia="仿宋" w:cs="仿宋"/>
          <w:bCs/>
          <w:sz w:val="28"/>
          <w:szCs w:val="28"/>
        </w:rPr>
        <w:t>资料邮寄地址：内蒙古自治区呼和浩特市赛罕区锡林南路盈嘉国际综合楼27层（李彦峰13204800293）。</w:t>
      </w:r>
    </w:p>
    <w:p>
      <w:pPr>
        <w:adjustRightInd w:val="0"/>
        <w:snapToGrid w:val="0"/>
        <w:spacing w:line="360" w:lineRule="auto"/>
        <w:ind w:firstLine="560" w:firstLineChars="200"/>
        <w:jc w:val="left"/>
        <w:rPr>
          <w:rFonts w:ascii="仿宋" w:hAnsi="仿宋" w:eastAsia="仿宋" w:cs="仿宋"/>
          <w:bCs/>
          <w:sz w:val="28"/>
          <w:szCs w:val="28"/>
        </w:rPr>
      </w:pPr>
      <w:r>
        <w:rPr>
          <w:rFonts w:hint="eastAsia" w:ascii="仿宋" w:hAnsi="仿宋" w:eastAsia="仿宋" w:cs="仿宋"/>
          <w:bCs/>
          <w:sz w:val="28"/>
          <w:szCs w:val="28"/>
        </w:rPr>
        <w:t>资料提供不全或者未按时间要求提报的将被拒绝接收，所提供的资质业绩文件中如有虚假情况，一经发现将被取消投标资格。</w:t>
      </w:r>
    </w:p>
    <w:p>
      <w:pPr>
        <w:adjustRightInd w:val="0"/>
        <w:snapToGrid w:val="0"/>
        <w:spacing w:line="360" w:lineRule="auto"/>
        <w:ind w:firstLine="562" w:firstLineChars="200"/>
        <w:jc w:val="left"/>
        <w:rPr>
          <w:rFonts w:ascii="仿宋" w:hAnsi="仿宋" w:eastAsia="仿宋" w:cs="仿宋"/>
          <w:b/>
          <w:kern w:val="0"/>
          <w:sz w:val="28"/>
          <w:szCs w:val="28"/>
        </w:rPr>
      </w:pPr>
      <w:r>
        <w:rPr>
          <w:rFonts w:ascii="仿宋" w:hAnsi="仿宋" w:eastAsia="仿宋" w:cs="仿宋"/>
          <w:b/>
          <w:sz w:val="28"/>
          <w:szCs w:val="28"/>
        </w:rPr>
        <w:t>六</w:t>
      </w:r>
      <w:r>
        <w:rPr>
          <w:rFonts w:hint="eastAsia" w:ascii="仿宋" w:hAnsi="仿宋" w:eastAsia="仿宋" w:cs="仿宋"/>
          <w:b/>
          <w:sz w:val="28"/>
          <w:szCs w:val="28"/>
        </w:rPr>
        <w:t>、</w:t>
      </w:r>
      <w:r>
        <w:rPr>
          <w:rFonts w:hint="eastAsia" w:ascii="仿宋" w:hAnsi="仿宋" w:eastAsia="仿宋" w:cs="仿宋"/>
          <w:b/>
          <w:kern w:val="0"/>
          <w:sz w:val="28"/>
          <w:szCs w:val="28"/>
        </w:rPr>
        <w:t>项目时间安排及要求：</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1、报名时间：2023年5月6日至2023年5月10日；</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2、资格预审时间：2023年5月11日；</w:t>
      </w:r>
      <w:bookmarkStart w:id="0" w:name="_GoBack"/>
      <w:bookmarkEnd w:id="0"/>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3、谈判文件发售时间：2023年5月</w:t>
      </w:r>
      <w:r>
        <w:rPr>
          <w:rFonts w:hint="eastAsia" w:ascii="仿宋" w:hAnsi="仿宋" w:eastAsia="仿宋" w:cs="仿宋"/>
          <w:sz w:val="28"/>
          <w:szCs w:val="28"/>
          <w:lang w:val="en-US" w:eastAsia="zh-CN"/>
        </w:rPr>
        <w:t>12</w:t>
      </w:r>
      <w:r>
        <w:rPr>
          <w:rFonts w:hint="eastAsia" w:ascii="仿宋" w:hAnsi="仿宋" w:eastAsia="仿宋" w:cs="仿宋"/>
          <w:sz w:val="28"/>
          <w:szCs w:val="28"/>
        </w:rPr>
        <w:t>日至2023年5月</w:t>
      </w:r>
      <w:r>
        <w:rPr>
          <w:rFonts w:hint="eastAsia" w:ascii="仿宋" w:hAnsi="仿宋" w:eastAsia="仿宋" w:cs="仿宋"/>
          <w:sz w:val="28"/>
          <w:szCs w:val="28"/>
          <w:lang w:val="en-US" w:eastAsia="zh-CN"/>
        </w:rPr>
        <w:t>14</w:t>
      </w:r>
      <w:r>
        <w:rPr>
          <w:rFonts w:hint="eastAsia" w:ascii="仿宋" w:hAnsi="仿宋" w:eastAsia="仿宋" w:cs="仿宋"/>
          <w:sz w:val="28"/>
          <w:szCs w:val="28"/>
        </w:rPr>
        <w:t>日发售谈判文件；</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谈判文件每套售价：</w:t>
      </w:r>
      <w:r>
        <w:rPr>
          <w:rFonts w:hint="eastAsia" w:ascii="仿宋" w:hAnsi="仿宋" w:eastAsia="仿宋" w:cs="仿宋"/>
          <w:sz w:val="28"/>
          <w:szCs w:val="28"/>
          <w:lang w:val="en-US" w:eastAsia="zh-CN"/>
        </w:rPr>
        <w:t>200</w:t>
      </w:r>
      <w:r>
        <w:rPr>
          <w:rFonts w:hint="eastAsia" w:ascii="仿宋" w:hAnsi="仿宋" w:eastAsia="仿宋" w:cs="仿宋"/>
          <w:sz w:val="28"/>
          <w:szCs w:val="28"/>
        </w:rPr>
        <w:t>元，售后不退（汇款后将回执扫描后发联系人邮箱主题栏里写清楚项目名称）；</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具体打款信息如下：</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开户银行：兴业银行呼和浩特分行营业部</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收款单位: 内蒙古华晟工程项目管理有限公司</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银行账号：592010100100885229</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银行行号：309191002015</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4、谈判时间：以发出的谈判文件为准。</w:t>
      </w:r>
    </w:p>
    <w:p>
      <w:pPr>
        <w:spacing w:line="360" w:lineRule="auto"/>
        <w:ind w:firstLine="562" w:firstLineChars="200"/>
        <w:rPr>
          <w:rFonts w:ascii="仿宋" w:hAnsi="仿宋" w:eastAsia="仿宋" w:cs="仿宋"/>
          <w:b/>
          <w:sz w:val="28"/>
          <w:szCs w:val="28"/>
          <w:u w:val="single"/>
        </w:rPr>
      </w:pPr>
      <w:r>
        <w:rPr>
          <w:rFonts w:ascii="仿宋" w:hAnsi="仿宋" w:eastAsia="仿宋" w:cs="仿宋"/>
          <w:b/>
          <w:bCs/>
          <w:sz w:val="28"/>
          <w:szCs w:val="28"/>
        </w:rPr>
        <w:t>七</w:t>
      </w:r>
      <w:r>
        <w:rPr>
          <w:rFonts w:hint="eastAsia" w:ascii="仿宋" w:hAnsi="仿宋" w:eastAsia="仿宋" w:cs="仿宋"/>
          <w:b/>
          <w:bCs/>
          <w:sz w:val="28"/>
          <w:szCs w:val="28"/>
        </w:rPr>
        <w:t>、</w:t>
      </w:r>
      <w:r>
        <w:rPr>
          <w:rFonts w:hint="eastAsia" w:ascii="仿宋" w:hAnsi="仿宋" w:eastAsia="仿宋" w:cs="仿宋"/>
          <w:b/>
          <w:sz w:val="28"/>
          <w:szCs w:val="28"/>
        </w:rPr>
        <w:t>谈判地点：以发出的谈判文件为准</w:t>
      </w:r>
    </w:p>
    <w:p>
      <w:pPr>
        <w:adjustRightInd w:val="0"/>
        <w:snapToGrid w:val="0"/>
        <w:spacing w:line="360" w:lineRule="auto"/>
        <w:ind w:firstLine="562" w:firstLineChars="200"/>
        <w:rPr>
          <w:rFonts w:ascii="仿宋" w:hAnsi="仿宋" w:eastAsia="仿宋" w:cs="仿宋"/>
          <w:b/>
          <w:bCs/>
          <w:sz w:val="28"/>
          <w:szCs w:val="28"/>
        </w:rPr>
      </w:pPr>
      <w:r>
        <w:rPr>
          <w:rFonts w:ascii="仿宋" w:hAnsi="仿宋" w:eastAsia="仿宋" w:cs="仿宋"/>
          <w:b/>
          <w:bCs/>
          <w:sz w:val="28"/>
          <w:szCs w:val="28"/>
        </w:rPr>
        <w:t>八</w:t>
      </w:r>
      <w:r>
        <w:rPr>
          <w:rFonts w:hint="eastAsia" w:ascii="仿宋" w:hAnsi="仿宋" w:eastAsia="仿宋" w:cs="仿宋"/>
          <w:b/>
          <w:bCs/>
          <w:sz w:val="28"/>
          <w:szCs w:val="28"/>
        </w:rPr>
        <w:t>、公告发布媒体：</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“蒙牛官网（http://www.mengniu.com.cn）及内部OA平台”</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此公告只在以上平台发布，其他任何媒体转载无效。</w:t>
      </w:r>
    </w:p>
    <w:p>
      <w:pPr>
        <w:adjustRightInd w:val="0"/>
        <w:snapToGrid w:val="0"/>
        <w:spacing w:line="360" w:lineRule="auto"/>
        <w:ind w:firstLine="562" w:firstLineChars="200"/>
        <w:rPr>
          <w:rFonts w:ascii="仿宋" w:hAnsi="仿宋" w:eastAsia="仿宋" w:cs="仿宋"/>
          <w:b/>
          <w:bCs/>
          <w:sz w:val="28"/>
          <w:szCs w:val="28"/>
        </w:rPr>
      </w:pPr>
      <w:r>
        <w:rPr>
          <w:rFonts w:ascii="仿宋" w:hAnsi="仿宋" w:eastAsia="仿宋" w:cs="仿宋"/>
          <w:b/>
          <w:bCs/>
          <w:sz w:val="28"/>
          <w:szCs w:val="28"/>
        </w:rPr>
        <w:t>九</w:t>
      </w:r>
      <w:r>
        <w:rPr>
          <w:rFonts w:hint="eastAsia" w:ascii="仿宋" w:hAnsi="仿宋" w:eastAsia="仿宋" w:cs="仿宋"/>
          <w:b/>
          <w:bCs/>
          <w:sz w:val="28"/>
          <w:szCs w:val="28"/>
        </w:rPr>
        <w:t>、招标代理机构及联系方式：</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招标代理机构：内蒙古华晟工程项目管理有限公司</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报名联系人：李彦峰（</w:t>
      </w:r>
      <w:r>
        <w:rPr>
          <w:rFonts w:hint="eastAsia" w:ascii="仿宋" w:hAnsi="仿宋" w:eastAsia="仿宋" w:cs="仿宋"/>
          <w:sz w:val="28"/>
          <w:szCs w:val="28"/>
          <w:lang w:val="en-US" w:eastAsia="zh-CN"/>
        </w:rPr>
        <w:t>13204800293</w:t>
      </w:r>
      <w:r>
        <w:rPr>
          <w:rFonts w:hint="eastAsia" w:ascii="仿宋" w:hAnsi="仿宋" w:eastAsia="仿宋" w:cs="仿宋"/>
          <w:sz w:val="28"/>
          <w:szCs w:val="28"/>
        </w:rPr>
        <w:t>）/周靖宇（13474803800）</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联系电话：0471-3957849/4918085-8013</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电子邮箱：liyanfeng@nmghuasheng.com</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联系地址：内蒙古自治区呼和浩特市赛罕区锡林南路盈嘉国际综合楼27层</w:t>
      </w:r>
    </w:p>
    <w:p>
      <w:pPr>
        <w:adjustRightInd w:val="0"/>
        <w:snapToGrid w:val="0"/>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十、采购招标实施方及联系方式</w:t>
      </w:r>
      <w:r>
        <w:rPr>
          <w:rFonts w:hint="eastAsia" w:ascii="仿宋" w:hAnsi="仿宋" w:eastAsia="仿宋" w:cs="仿宋"/>
          <w:sz w:val="28"/>
          <w:szCs w:val="28"/>
        </w:rPr>
        <w:t>：</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采购招标实施方：蒙牛高科乳制品武汉有限</w:t>
      </w:r>
      <w:r>
        <w:rPr>
          <w:rFonts w:hint="eastAsia" w:ascii="仿宋" w:hAnsi="仿宋" w:eastAsia="仿宋" w:cs="仿宋"/>
          <w:sz w:val="28"/>
          <w:szCs w:val="28"/>
          <w:lang w:val="en-US" w:eastAsia="zh-CN"/>
        </w:rPr>
        <w:t>责任</w:t>
      </w:r>
      <w:r>
        <w:rPr>
          <w:rFonts w:hint="eastAsia" w:ascii="仿宋" w:hAnsi="仿宋" w:eastAsia="仿宋" w:cs="仿宋"/>
          <w:sz w:val="28"/>
          <w:szCs w:val="28"/>
        </w:rPr>
        <w:t>公司</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业务咨询联系人：</w:t>
      </w:r>
      <w:r>
        <w:rPr>
          <w:rFonts w:hint="eastAsia" w:ascii="仿宋" w:hAnsi="仿宋" w:eastAsia="仿宋" w:cs="仿宋"/>
          <w:sz w:val="28"/>
          <w:szCs w:val="28"/>
          <w:lang w:val="en-US" w:eastAsia="zh-CN"/>
        </w:rPr>
        <w:t>周思航</w:t>
      </w:r>
      <w:r>
        <w:rPr>
          <w:rFonts w:hint="eastAsia" w:ascii="仿宋" w:hAnsi="仿宋" w:eastAsia="仿宋" w:cs="仿宋"/>
          <w:sz w:val="28"/>
          <w:szCs w:val="28"/>
        </w:rPr>
        <w:t xml:space="preserve">    联系方式：</w:t>
      </w:r>
      <w:r>
        <w:rPr>
          <w:rFonts w:hint="eastAsia" w:ascii="仿宋" w:hAnsi="仿宋" w:eastAsia="仿宋" w:cs="仿宋"/>
          <w:sz w:val="28"/>
          <w:szCs w:val="28"/>
          <w:lang w:val="en-US" w:eastAsia="zh-CN"/>
        </w:rPr>
        <w:t>13277959041</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w:t>
      </w:r>
      <w:r>
        <w:rPr>
          <w:rFonts w:ascii="仿宋" w:hAnsi="仿宋" w:eastAsia="仿宋" w:cs="仿宋"/>
          <w:b/>
          <w:bCs/>
          <w:sz w:val="28"/>
          <w:szCs w:val="28"/>
        </w:rPr>
        <w:t>一</w:t>
      </w:r>
      <w:r>
        <w:rPr>
          <w:rFonts w:hint="eastAsia" w:ascii="仿宋" w:hAnsi="仿宋" w:eastAsia="仿宋" w:cs="仿宋"/>
          <w:b/>
          <w:bCs/>
          <w:sz w:val="28"/>
          <w:szCs w:val="28"/>
        </w:rPr>
        <w:t>、监督单位及联系方式：</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监督单位：内蒙古蒙牛乳业（集团）股份有限公司招投标管理部</w:t>
      </w:r>
    </w:p>
    <w:p>
      <w:pPr>
        <w:pStyle w:val="7"/>
        <w:ind w:left="0" w:leftChars="0" w:firstLine="560"/>
      </w:pPr>
      <w:r>
        <w:rPr>
          <w:rFonts w:hint="eastAsia" w:ascii="仿宋" w:hAnsi="仿宋" w:eastAsia="仿宋" w:cs="仿宋"/>
          <w:sz w:val="28"/>
          <w:szCs w:val="28"/>
        </w:rPr>
        <w:t>异议/投诉服务网址：</w:t>
      </w:r>
      <w:r>
        <w:fldChar w:fldCharType="begin"/>
      </w:r>
      <w:r>
        <w:instrText xml:space="preserve"> HYPERLINK "https://zbcg.mengniu.cn/" \l "/home" \t "_blank" </w:instrText>
      </w:r>
      <w:r>
        <w:fldChar w:fldCharType="separate"/>
      </w:r>
      <w:r>
        <w:rPr>
          <w:rFonts w:hint="eastAsia" w:ascii="仿宋" w:hAnsi="仿宋" w:eastAsia="仿宋" w:cs="仿宋"/>
          <w:sz w:val="28"/>
          <w:szCs w:val="28"/>
        </w:rPr>
        <w:t>https://zbcg.mengniu.cn/#/home</w:t>
      </w:r>
      <w:r>
        <w:rPr>
          <w:rFonts w:hint="eastAsia" w:ascii="仿宋" w:hAnsi="仿宋" w:eastAsia="仿宋" w:cs="仿宋"/>
          <w:sz w:val="28"/>
          <w:szCs w:val="28"/>
        </w:rPr>
        <w:fldChar w:fldCharType="end"/>
      </w:r>
    </w:p>
    <w:p>
      <w:pPr>
        <w:adjustRightInd w:val="0"/>
        <w:snapToGrid w:val="0"/>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监 督 人：</w:t>
      </w:r>
      <w:r>
        <w:rPr>
          <w:rFonts w:hint="eastAsia" w:ascii="仿宋" w:hAnsi="仿宋" w:eastAsia="仿宋" w:cs="仿宋"/>
          <w:sz w:val="28"/>
          <w:szCs w:val="28"/>
          <w:lang w:val="en-US" w:eastAsia="zh-CN"/>
        </w:rPr>
        <w:t>潘宏</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sz w:val="28"/>
          <w:szCs w:val="28"/>
        </w:rPr>
        <w:t>联系电话：</w:t>
      </w:r>
      <w:r>
        <w:rPr>
          <w:rFonts w:ascii="仿宋" w:hAnsi="仿宋" w:eastAsia="仿宋"/>
          <w:sz w:val="28"/>
          <w:szCs w:val="28"/>
        </w:rPr>
        <w:t>0471</w:t>
      </w:r>
      <w:r>
        <w:rPr>
          <w:rFonts w:hint="eastAsia" w:ascii="仿宋" w:hAnsi="仿宋" w:eastAsia="仿宋"/>
          <w:sz w:val="28"/>
          <w:szCs w:val="28"/>
        </w:rPr>
        <w:t>-</w:t>
      </w:r>
      <w:r>
        <w:rPr>
          <w:rFonts w:ascii="仿宋" w:hAnsi="仿宋" w:eastAsia="仿宋"/>
          <w:sz w:val="28"/>
          <w:szCs w:val="28"/>
        </w:rPr>
        <w:t>7393642/</w:t>
      </w:r>
      <w:r>
        <w:rPr>
          <w:rFonts w:hint="eastAsia" w:ascii="仿宋" w:hAnsi="仿宋" w:eastAsia="仿宋" w:cs="仿宋"/>
          <w:sz w:val="30"/>
          <w:szCs w:val="30"/>
          <w:highlight w:val="none"/>
        </w:rPr>
        <w:t>18686095595</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附件：1.潜在竞谈单位所报标段信息表</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      2.数据保密协议</w:t>
      </w:r>
    </w:p>
    <w:p>
      <w:pPr>
        <w:adjustRightInd w:val="0"/>
        <w:snapToGrid w:val="0"/>
        <w:spacing w:line="360" w:lineRule="auto"/>
        <w:ind w:firstLine="560" w:firstLineChars="200"/>
        <w:rPr>
          <w:sz w:val="28"/>
          <w:szCs w:val="28"/>
        </w:rPr>
      </w:pPr>
      <w:r>
        <w:rPr>
          <w:rFonts w:hint="eastAsia" w:ascii="仿宋" w:hAnsi="仿宋" w:eastAsia="仿宋" w:cs="仿宋"/>
          <w:sz w:val="28"/>
          <w:szCs w:val="28"/>
        </w:rPr>
        <w:t xml:space="preserve"> </w:t>
      </w:r>
      <w:r>
        <w:rPr>
          <w:rFonts w:ascii="仿宋" w:hAnsi="仿宋" w:eastAsia="仿宋" w:cs="仿宋"/>
          <w:sz w:val="28"/>
          <w:szCs w:val="28"/>
        </w:rPr>
        <w:t xml:space="preserve">    </w:t>
      </w:r>
    </w:p>
    <w:p>
      <w:pPr>
        <w:adjustRightInd w:val="0"/>
        <w:snapToGrid w:val="0"/>
        <w:spacing w:line="360" w:lineRule="auto"/>
        <w:ind w:firstLine="560" w:firstLineChars="200"/>
        <w:jc w:val="right"/>
        <w:rPr>
          <w:rFonts w:hint="eastAsia" w:ascii="仿宋" w:hAnsi="仿宋" w:eastAsia="仿宋" w:cs="仿宋"/>
          <w:sz w:val="28"/>
          <w:szCs w:val="28"/>
          <w:lang w:eastAsia="zh-CN"/>
        </w:rPr>
      </w:pPr>
      <w:r>
        <w:rPr>
          <w:rFonts w:hint="eastAsia" w:ascii="仿宋" w:hAnsi="仿宋" w:eastAsia="仿宋" w:cs="仿宋"/>
          <w:sz w:val="28"/>
          <w:szCs w:val="28"/>
        </w:rPr>
        <w:t>蒙牛高科乳制品武汉有限</w:t>
      </w:r>
      <w:r>
        <w:rPr>
          <w:rFonts w:hint="eastAsia" w:ascii="仿宋" w:hAnsi="仿宋" w:eastAsia="仿宋" w:cs="仿宋"/>
          <w:sz w:val="28"/>
          <w:szCs w:val="28"/>
          <w:lang w:val="en-US" w:eastAsia="zh-CN"/>
        </w:rPr>
        <w:t>责任</w:t>
      </w:r>
      <w:r>
        <w:rPr>
          <w:rFonts w:hint="eastAsia" w:ascii="仿宋" w:hAnsi="仿宋" w:eastAsia="仿宋" w:cs="仿宋"/>
          <w:sz w:val="28"/>
          <w:szCs w:val="28"/>
        </w:rPr>
        <w:t>公司</w:t>
      </w:r>
    </w:p>
    <w:p>
      <w:pPr>
        <w:adjustRightInd w:val="0"/>
        <w:snapToGrid w:val="0"/>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内蒙古华晟工程项目管理有限公司</w:t>
      </w:r>
    </w:p>
    <w:p>
      <w:pPr>
        <w:adjustRightInd w:val="0"/>
        <w:snapToGrid w:val="0"/>
        <w:spacing w:line="360" w:lineRule="auto"/>
        <w:ind w:firstLine="560" w:firstLineChars="200"/>
        <w:jc w:val="right"/>
        <w:rPr>
          <w:rFonts w:ascii="宋体" w:hAnsi="宋体"/>
          <w:sz w:val="28"/>
          <w:szCs w:val="28"/>
        </w:rPr>
      </w:pPr>
      <w:r>
        <w:rPr>
          <w:rFonts w:hint="eastAsia" w:ascii="仿宋" w:hAnsi="仿宋" w:eastAsia="仿宋" w:cs="仿宋"/>
          <w:sz w:val="28"/>
          <w:szCs w:val="28"/>
        </w:rPr>
        <w:t>2023年</w:t>
      </w:r>
      <w:r>
        <w:rPr>
          <w:rFonts w:hint="eastAsia" w:ascii="仿宋" w:hAnsi="仿宋" w:eastAsia="仿宋" w:cs="仿宋"/>
          <w:sz w:val="28"/>
          <w:szCs w:val="28"/>
          <w:lang w:val="en-US" w:eastAsia="zh-CN"/>
        </w:rPr>
        <w:t>5</w:t>
      </w:r>
      <w:r>
        <w:rPr>
          <w:rFonts w:hint="eastAsia" w:ascii="仿宋" w:hAnsi="仿宋" w:eastAsia="仿宋" w:cs="仿宋"/>
          <w:sz w:val="28"/>
          <w:szCs w:val="28"/>
        </w:rPr>
        <w:t>月</w:t>
      </w:r>
      <w:r>
        <w:rPr>
          <w:rFonts w:hint="eastAsia" w:ascii="仿宋" w:hAnsi="仿宋" w:eastAsia="仿宋" w:cs="仿宋"/>
          <w:sz w:val="28"/>
          <w:szCs w:val="28"/>
          <w:lang w:val="en-US" w:eastAsia="zh-CN"/>
        </w:rPr>
        <w:t>5</w:t>
      </w:r>
      <w:r>
        <w:rPr>
          <w:rFonts w:hint="eastAsia" w:ascii="仿宋" w:hAnsi="仿宋" w:eastAsia="仿宋" w:cs="仿宋"/>
          <w:sz w:val="28"/>
          <w:szCs w:val="28"/>
        </w:rPr>
        <w:t>日</w:t>
      </w:r>
    </w:p>
    <w:p>
      <w:pPr>
        <w:pStyle w:val="2"/>
        <w:ind w:left="0" w:leftChars="0" w:firstLine="0" w:firstLineChars="0"/>
      </w:pPr>
    </w:p>
    <w:p>
      <w:pPr>
        <w:rPr>
          <w:rFonts w:ascii="仿宋" w:hAnsi="仿宋" w:eastAsia="仿宋" w:cs="仿宋"/>
          <w:sz w:val="28"/>
          <w:szCs w:val="28"/>
        </w:rPr>
      </w:pPr>
      <w:r>
        <w:rPr>
          <w:rFonts w:hint="eastAsia" w:ascii="仿宋" w:hAnsi="仿宋" w:eastAsia="仿宋" w:cs="仿宋"/>
          <w:sz w:val="28"/>
          <w:szCs w:val="28"/>
        </w:rPr>
        <w:t>附件1：</w:t>
      </w:r>
    </w:p>
    <w:p>
      <w:pPr>
        <w:spacing w:line="360" w:lineRule="auto"/>
        <w:jc w:val="center"/>
        <w:rPr>
          <w:rFonts w:ascii="仿宋" w:hAnsi="仿宋" w:eastAsia="仿宋" w:cs="仿宋"/>
          <w:b/>
          <w:sz w:val="28"/>
          <w:szCs w:val="28"/>
        </w:rPr>
      </w:pPr>
      <w:r>
        <w:rPr>
          <w:rFonts w:hint="eastAsia" w:ascii="仿宋" w:hAnsi="仿宋" w:eastAsia="仿宋" w:cs="仿宋"/>
          <w:b/>
          <w:sz w:val="28"/>
          <w:szCs w:val="28"/>
        </w:rPr>
        <w:t>潜在竞谈单位所报标段信息表</w:t>
      </w:r>
    </w:p>
    <w:tbl>
      <w:tblPr>
        <w:tblStyle w:val="8"/>
        <w:tblW w:w="9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581"/>
        <w:gridCol w:w="1709"/>
        <w:gridCol w:w="1257"/>
        <w:gridCol w:w="1481"/>
        <w:gridCol w:w="1389"/>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676" w:type="dxa"/>
            <w:vAlign w:val="center"/>
          </w:tcPr>
          <w:p>
            <w:pPr>
              <w:spacing w:line="360" w:lineRule="auto"/>
              <w:jc w:val="center"/>
              <w:rPr>
                <w:rFonts w:ascii="仿宋" w:hAnsi="仿宋" w:eastAsia="仿宋" w:cs="仿宋"/>
                <w:b/>
                <w:sz w:val="28"/>
                <w:szCs w:val="28"/>
              </w:rPr>
            </w:pPr>
            <w:r>
              <w:rPr>
                <w:rFonts w:hint="eastAsia" w:ascii="仿宋" w:hAnsi="仿宋" w:eastAsia="仿宋" w:cs="仿宋"/>
                <w:b/>
                <w:sz w:val="28"/>
                <w:szCs w:val="28"/>
              </w:rPr>
              <w:t>序号</w:t>
            </w:r>
          </w:p>
        </w:tc>
        <w:tc>
          <w:tcPr>
            <w:tcW w:w="1581" w:type="dxa"/>
            <w:vAlign w:val="center"/>
          </w:tcPr>
          <w:p>
            <w:pPr>
              <w:spacing w:line="360" w:lineRule="auto"/>
              <w:jc w:val="center"/>
              <w:rPr>
                <w:rFonts w:ascii="仿宋" w:hAnsi="仿宋" w:eastAsia="仿宋" w:cs="仿宋"/>
                <w:b/>
                <w:sz w:val="28"/>
                <w:szCs w:val="28"/>
              </w:rPr>
            </w:pPr>
            <w:r>
              <w:rPr>
                <w:rFonts w:hint="eastAsia" w:ascii="仿宋" w:hAnsi="仿宋" w:eastAsia="仿宋" w:cs="仿宋"/>
                <w:b/>
                <w:sz w:val="28"/>
                <w:szCs w:val="28"/>
              </w:rPr>
              <w:t>潜在竞谈单位名称</w:t>
            </w:r>
          </w:p>
        </w:tc>
        <w:tc>
          <w:tcPr>
            <w:tcW w:w="1709" w:type="dxa"/>
            <w:vAlign w:val="center"/>
          </w:tcPr>
          <w:p>
            <w:pPr>
              <w:spacing w:line="360" w:lineRule="auto"/>
              <w:jc w:val="center"/>
              <w:rPr>
                <w:rFonts w:ascii="仿宋" w:hAnsi="仿宋" w:eastAsia="仿宋" w:cs="仿宋"/>
                <w:b/>
                <w:sz w:val="28"/>
                <w:szCs w:val="28"/>
              </w:rPr>
            </w:pPr>
            <w:r>
              <w:rPr>
                <w:rFonts w:hint="eastAsia" w:ascii="仿宋" w:hAnsi="仿宋" w:eastAsia="仿宋" w:cs="仿宋"/>
                <w:b/>
                <w:sz w:val="28"/>
                <w:szCs w:val="28"/>
              </w:rPr>
              <w:t>标段（如有）</w:t>
            </w:r>
          </w:p>
        </w:tc>
        <w:tc>
          <w:tcPr>
            <w:tcW w:w="1257" w:type="dxa"/>
            <w:vAlign w:val="center"/>
          </w:tcPr>
          <w:p>
            <w:pPr>
              <w:spacing w:line="360" w:lineRule="auto"/>
              <w:jc w:val="center"/>
              <w:rPr>
                <w:rFonts w:ascii="仿宋" w:hAnsi="仿宋" w:eastAsia="仿宋" w:cs="仿宋"/>
                <w:b/>
                <w:sz w:val="28"/>
                <w:szCs w:val="28"/>
              </w:rPr>
            </w:pPr>
            <w:r>
              <w:rPr>
                <w:rFonts w:hint="eastAsia" w:ascii="仿宋" w:hAnsi="仿宋" w:eastAsia="仿宋" w:cs="仿宋"/>
                <w:b/>
                <w:sz w:val="28"/>
                <w:szCs w:val="28"/>
              </w:rPr>
              <w:t>联系人</w:t>
            </w:r>
          </w:p>
        </w:tc>
        <w:tc>
          <w:tcPr>
            <w:tcW w:w="1481" w:type="dxa"/>
            <w:vAlign w:val="center"/>
          </w:tcPr>
          <w:p>
            <w:pPr>
              <w:spacing w:line="360" w:lineRule="auto"/>
              <w:jc w:val="center"/>
              <w:rPr>
                <w:rFonts w:ascii="仿宋" w:hAnsi="仿宋" w:eastAsia="仿宋" w:cs="仿宋"/>
                <w:b/>
                <w:sz w:val="28"/>
                <w:szCs w:val="28"/>
              </w:rPr>
            </w:pPr>
            <w:r>
              <w:rPr>
                <w:rFonts w:hint="eastAsia" w:ascii="仿宋" w:hAnsi="仿宋" w:eastAsia="仿宋" w:cs="仿宋"/>
                <w:b/>
                <w:sz w:val="28"/>
                <w:szCs w:val="28"/>
              </w:rPr>
              <w:t>联系电话</w:t>
            </w:r>
          </w:p>
        </w:tc>
        <w:tc>
          <w:tcPr>
            <w:tcW w:w="1389" w:type="dxa"/>
            <w:vAlign w:val="center"/>
          </w:tcPr>
          <w:p>
            <w:pPr>
              <w:spacing w:line="360" w:lineRule="auto"/>
              <w:jc w:val="center"/>
              <w:rPr>
                <w:rFonts w:ascii="仿宋" w:hAnsi="仿宋" w:eastAsia="仿宋" w:cs="仿宋"/>
                <w:b/>
                <w:sz w:val="28"/>
                <w:szCs w:val="28"/>
              </w:rPr>
            </w:pPr>
            <w:r>
              <w:rPr>
                <w:rFonts w:hint="eastAsia" w:ascii="仿宋" w:hAnsi="仿宋" w:eastAsia="仿宋" w:cs="仿宋"/>
                <w:b/>
                <w:sz w:val="28"/>
                <w:szCs w:val="28"/>
              </w:rPr>
              <w:t>邮箱地址</w:t>
            </w:r>
          </w:p>
        </w:tc>
        <w:tc>
          <w:tcPr>
            <w:tcW w:w="1423" w:type="dxa"/>
            <w:vAlign w:val="center"/>
          </w:tcPr>
          <w:p>
            <w:pPr>
              <w:spacing w:line="360" w:lineRule="auto"/>
              <w:jc w:val="center"/>
              <w:rPr>
                <w:rFonts w:ascii="仿宋" w:hAnsi="仿宋" w:eastAsia="仿宋" w:cs="仿宋"/>
                <w:b/>
                <w:sz w:val="28"/>
                <w:szCs w:val="28"/>
              </w:rPr>
            </w:pPr>
            <w:r>
              <w:rPr>
                <w:rFonts w:hint="eastAsia" w:ascii="仿宋" w:hAnsi="仿宋" w:eastAsia="仿宋" w:cs="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676" w:type="dxa"/>
          </w:tcPr>
          <w:p>
            <w:pPr>
              <w:spacing w:line="360" w:lineRule="auto"/>
              <w:ind w:firstLine="560" w:firstLineChars="200"/>
              <w:jc w:val="left"/>
              <w:rPr>
                <w:rFonts w:ascii="仿宋" w:hAnsi="仿宋" w:eastAsia="仿宋" w:cs="仿宋"/>
                <w:sz w:val="28"/>
                <w:szCs w:val="28"/>
              </w:rPr>
            </w:pPr>
          </w:p>
        </w:tc>
        <w:tc>
          <w:tcPr>
            <w:tcW w:w="1581" w:type="dxa"/>
          </w:tcPr>
          <w:p>
            <w:pPr>
              <w:spacing w:line="360" w:lineRule="auto"/>
              <w:ind w:firstLine="560" w:firstLineChars="200"/>
              <w:jc w:val="left"/>
              <w:rPr>
                <w:rFonts w:ascii="仿宋" w:hAnsi="仿宋" w:eastAsia="仿宋" w:cs="仿宋"/>
                <w:sz w:val="28"/>
                <w:szCs w:val="28"/>
              </w:rPr>
            </w:pPr>
          </w:p>
        </w:tc>
        <w:tc>
          <w:tcPr>
            <w:tcW w:w="1709" w:type="dxa"/>
          </w:tcPr>
          <w:p>
            <w:pPr>
              <w:spacing w:line="360" w:lineRule="auto"/>
              <w:ind w:firstLine="560" w:firstLineChars="200"/>
              <w:jc w:val="left"/>
              <w:rPr>
                <w:rFonts w:ascii="仿宋" w:hAnsi="仿宋" w:eastAsia="仿宋" w:cs="仿宋"/>
                <w:sz w:val="28"/>
                <w:szCs w:val="28"/>
              </w:rPr>
            </w:pPr>
          </w:p>
        </w:tc>
        <w:tc>
          <w:tcPr>
            <w:tcW w:w="1257" w:type="dxa"/>
          </w:tcPr>
          <w:p>
            <w:pPr>
              <w:spacing w:line="360" w:lineRule="auto"/>
              <w:ind w:firstLine="560" w:firstLineChars="200"/>
              <w:jc w:val="left"/>
              <w:rPr>
                <w:rFonts w:ascii="仿宋" w:hAnsi="仿宋" w:eastAsia="仿宋" w:cs="仿宋"/>
                <w:sz w:val="28"/>
                <w:szCs w:val="28"/>
              </w:rPr>
            </w:pPr>
          </w:p>
        </w:tc>
        <w:tc>
          <w:tcPr>
            <w:tcW w:w="1481" w:type="dxa"/>
          </w:tcPr>
          <w:p>
            <w:pPr>
              <w:spacing w:line="360" w:lineRule="auto"/>
              <w:ind w:firstLine="560" w:firstLineChars="200"/>
              <w:jc w:val="left"/>
              <w:rPr>
                <w:rFonts w:ascii="仿宋" w:hAnsi="仿宋" w:eastAsia="仿宋" w:cs="仿宋"/>
                <w:sz w:val="28"/>
                <w:szCs w:val="28"/>
              </w:rPr>
            </w:pPr>
          </w:p>
        </w:tc>
        <w:tc>
          <w:tcPr>
            <w:tcW w:w="1389" w:type="dxa"/>
          </w:tcPr>
          <w:p>
            <w:pPr>
              <w:spacing w:line="360" w:lineRule="auto"/>
              <w:ind w:firstLine="560" w:firstLineChars="200"/>
              <w:jc w:val="left"/>
              <w:rPr>
                <w:rFonts w:ascii="仿宋" w:hAnsi="仿宋" w:eastAsia="仿宋" w:cs="仿宋"/>
                <w:sz w:val="28"/>
                <w:szCs w:val="28"/>
              </w:rPr>
            </w:pPr>
          </w:p>
        </w:tc>
        <w:tc>
          <w:tcPr>
            <w:tcW w:w="1423" w:type="dxa"/>
          </w:tcPr>
          <w:p>
            <w:pPr>
              <w:spacing w:line="360" w:lineRule="auto"/>
              <w:ind w:firstLine="560" w:firstLineChars="200"/>
              <w:jc w:val="left"/>
              <w:rPr>
                <w:rFonts w:ascii="仿宋" w:hAnsi="仿宋" w:eastAsia="仿宋" w:cs="仿宋"/>
                <w:sz w:val="28"/>
                <w:szCs w:val="28"/>
              </w:rPr>
            </w:pPr>
          </w:p>
        </w:tc>
      </w:tr>
    </w:tbl>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br w:type="page"/>
      </w:r>
    </w:p>
    <w:p>
      <w:pPr>
        <w:rPr>
          <w:rFonts w:ascii="仿宋" w:hAnsi="仿宋" w:eastAsia="仿宋" w:cs="仿宋"/>
          <w:sz w:val="28"/>
          <w:szCs w:val="28"/>
        </w:rPr>
      </w:pPr>
      <w:r>
        <w:rPr>
          <w:rFonts w:hint="eastAsia" w:ascii="仿宋" w:hAnsi="仿宋" w:eastAsia="仿宋" w:cs="仿宋"/>
          <w:sz w:val="28"/>
          <w:szCs w:val="28"/>
        </w:rPr>
        <w:t>附件2：</w:t>
      </w:r>
    </w:p>
    <w:p>
      <w:pPr>
        <w:spacing w:line="360" w:lineRule="auto"/>
        <w:jc w:val="center"/>
        <w:rPr>
          <w:rFonts w:ascii="仿宋" w:hAnsi="仿宋" w:eastAsia="仿宋" w:cs="仿宋"/>
          <w:b/>
          <w:sz w:val="28"/>
          <w:szCs w:val="28"/>
        </w:rPr>
      </w:pPr>
      <w:r>
        <w:rPr>
          <w:rFonts w:hint="eastAsia" w:ascii="仿宋" w:hAnsi="仿宋" w:eastAsia="仿宋" w:cs="仿宋"/>
          <w:b/>
          <w:sz w:val="28"/>
          <w:szCs w:val="28"/>
        </w:rPr>
        <w:t>数据保密协议</w:t>
      </w:r>
    </w:p>
    <w:p>
      <w:pPr>
        <w:spacing w:line="360" w:lineRule="auto"/>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rPr>
        <w:t xml:space="preserve">甲方： </w:t>
      </w:r>
    </w:p>
    <w:p>
      <w:pPr>
        <w:spacing w:line="360" w:lineRule="auto"/>
        <w:rPr>
          <w:rFonts w:ascii="仿宋" w:hAnsi="仿宋" w:eastAsia="仿宋" w:cs="仿宋"/>
          <w:kern w:val="0"/>
          <w:sz w:val="28"/>
          <w:szCs w:val="28"/>
        </w:rPr>
      </w:pPr>
      <w:r>
        <w:rPr>
          <w:rFonts w:hint="eastAsia" w:ascii="仿宋" w:hAnsi="仿宋" w:eastAsia="仿宋" w:cs="仿宋"/>
          <w:color w:val="000000"/>
          <w:kern w:val="0"/>
          <w:sz w:val="28"/>
          <w:szCs w:val="28"/>
        </w:rPr>
        <w:t>承诺方：</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双方经平等协商同意，自愿签订本协议，共同遵守本协议所列条款。</w:t>
      </w:r>
    </w:p>
    <w:p>
      <w:pPr>
        <w:widowControl/>
        <w:adjustRightInd w:val="0"/>
        <w:snapToGrid w:val="0"/>
        <w:spacing w:line="360" w:lineRule="auto"/>
        <w:ind w:firstLine="562" w:firstLineChars="20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第一条、保密的定义、内容和范围</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1、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2、涉及甲方商业秘密，包括但不限于甲方在需求调研、备份数据以及其他任何与我公司相关的信息。本协议所称的商业秘密，是指乙方所掌握或获知的不为公众所知悉、能为甲方带来经济利益、具有实用性并经甲方采取保密措施的技术信息和经营信息。</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3、包括但不限于以直接、间接、口头或书面等形式提供商业秘密的行为均属泄密。 </w:t>
      </w:r>
    </w:p>
    <w:p>
      <w:pPr>
        <w:widowControl/>
        <w:adjustRightInd w:val="0"/>
        <w:snapToGrid w:val="0"/>
        <w:spacing w:line="360" w:lineRule="auto"/>
        <w:ind w:firstLine="562" w:firstLineChars="20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第二条、保密条款</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1、承诺方同意严格按照本协议的规定使用甲方的保密信息，未经甲方的事先书面许可，不得向第三方，或允许向第三方直接或间接地透露保密信息。</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2、承诺方负责对保密信息进行保密，并采取所有必要的预防措施（包括但不限于双方采取的用于保护自身保密信息的措施）防止第三方未经授权地使用及透露保密信息；</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3、承诺方不得向第三方提供保密信息或由保密信息衍生的信息；</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4、除了本协议确定的保密信息应用范围外，承诺方不得在任何时候使用保密信息。</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5、本条款项下的义务适用于任何保密信息，或根据双方事先或目前协议由甲方提供给承诺方的其他专有和/或保密信息。</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6、本协议终止后，承诺方应立即自费将保密信息物归原主，并归还所有含保密信息的文件或媒体及其复制件或摘要。</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7、协议确定业务的承诺方员工。如果参与本协议的承诺方员工不再继续参与本项目，则应确保立即终止该员工获得对方保密信息和信息源的途径。</w:t>
      </w:r>
    </w:p>
    <w:p>
      <w:pPr>
        <w:widowControl/>
        <w:adjustRightInd w:val="0"/>
        <w:snapToGrid w:val="0"/>
        <w:spacing w:line="360" w:lineRule="auto"/>
        <w:ind w:firstLine="562" w:firstLineChars="20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 xml:space="preserve">第三条、双方的权利与义务  </w:t>
      </w:r>
    </w:p>
    <w:p>
      <w:pPr>
        <w:widowControl/>
        <w:adjustRightInd w:val="0"/>
        <w:snapToGrid w:val="0"/>
        <w:spacing w:line="360" w:lineRule="auto"/>
        <w:ind w:firstLine="565" w:firstLineChars="202"/>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1、承诺方应自觉维护甲方的利益，严格遵守本委托方的保密规定；</w:t>
      </w:r>
    </w:p>
    <w:p>
      <w:pPr>
        <w:widowControl/>
        <w:adjustRightInd w:val="0"/>
        <w:snapToGrid w:val="0"/>
        <w:spacing w:line="360" w:lineRule="auto"/>
        <w:ind w:left="568" w:leftChars="270" w:hanging="1"/>
        <w:textAlignment w:val="baseline"/>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rPr>
        <w:t>2、承诺方不得向任何单位和个人泄露所掌握的商业秘密事项；</w:t>
      </w:r>
    </w:p>
    <w:p>
      <w:pPr>
        <w:widowControl/>
        <w:adjustRightInd w:val="0"/>
        <w:snapToGrid w:val="0"/>
        <w:spacing w:line="360" w:lineRule="auto"/>
        <w:ind w:left="568" w:leftChars="270" w:hanging="1"/>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3、承诺方不得利用所掌握的商业秘密牟取私利；</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4、承诺方了解并承认，由于技术服务等原因，承诺方有可能在某些情况下访问甲方数据。</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5、承诺方同意并承诺，对所有保密信息予以严格保密，在未得到甲方事先许可的情况下不得披露给任何第三人；</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6、承诺方同意并承诺，无论任何原因，服务终止后，承诺方不可恢复地删除任何商业秘密，并不留存任何副本。同时，如甲方需要，承诺方保证退回甲方的任何含有商业秘密的文件或资料（如有）。</w:t>
      </w:r>
    </w:p>
    <w:p>
      <w:pPr>
        <w:widowControl/>
        <w:adjustRightInd w:val="0"/>
        <w:snapToGrid w:val="0"/>
        <w:spacing w:line="360" w:lineRule="auto"/>
        <w:ind w:firstLine="562" w:firstLineChars="20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 xml:space="preserve"> 第四条、本《协议》项下的保密义务不适用于如下信息：</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1、由于承诺方以外其他渠道被他人获知的信息，这些渠道并不受保密义务的限制；</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2、由于法律的适用、法院或其他国家有权机关的要求而披露的信息。</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3、另一方从不受保密限制的第三方获得的信息；</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4、未参考保密信息而由另一方独立开发的信息；</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5、依据法律的规定或根据法律赋予的权力可以获取此信息的司法、政府机构的要求必须公开的信息。接到此类要求后的一方，应立即通知另一方，使另一方了解将要披露的内容并提出意见。</w:t>
      </w:r>
    </w:p>
    <w:p>
      <w:pPr>
        <w:widowControl/>
        <w:adjustRightInd w:val="0"/>
        <w:snapToGrid w:val="0"/>
        <w:spacing w:line="360" w:lineRule="auto"/>
        <w:ind w:firstLine="562" w:firstLineChars="20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第五条、如果</w:t>
      </w:r>
      <w:r>
        <w:rPr>
          <w:rFonts w:hint="eastAsia" w:ascii="仿宋" w:hAnsi="仿宋" w:eastAsia="仿宋" w:cs="仿宋"/>
          <w:color w:val="000000"/>
          <w:kern w:val="0"/>
          <w:sz w:val="28"/>
          <w:szCs w:val="28"/>
        </w:rPr>
        <w:t>承诺方</w:t>
      </w:r>
      <w:r>
        <w:rPr>
          <w:rFonts w:hint="eastAsia" w:ascii="仿宋" w:hAnsi="仿宋" w:eastAsia="仿宋" w:cs="仿宋"/>
          <w:b/>
          <w:color w:val="000000"/>
          <w:kern w:val="0"/>
          <w:sz w:val="28"/>
          <w:szCs w:val="28"/>
        </w:rPr>
        <w:t>违反本协议的以上规定情形，则甲方有权将承诺方拉入蒙牛供应商黑名单，并要积极配合甲方在10个工作日内收回已经泄露的信息。</w:t>
      </w:r>
    </w:p>
    <w:p>
      <w:pPr>
        <w:widowControl/>
        <w:adjustRightInd w:val="0"/>
        <w:snapToGrid w:val="0"/>
        <w:spacing w:line="360" w:lineRule="auto"/>
        <w:ind w:firstLine="562" w:firstLineChars="20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第六条、争议解决方式</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本协议适用中华人民共和国法律，因本协议引起或与本协议有关的任何争议，应由双方友好协商解决，协商不成的，双方同意选择第【1】种方式解决：</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1、向呼和浩特仲裁委员会申请仲裁。因仲裁产生的包括但不限于仲裁费、律师费、调查费、差旅费等，由败诉一方承担。</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2、向甲方所在地有管辖权的人民法院提起诉讼。因诉讼产生的包括但不限于诉讼费、律师费、调查费、差旅费等，由败诉一方承担。</w:t>
      </w:r>
    </w:p>
    <w:p>
      <w:pPr>
        <w:widowControl/>
        <w:adjustRightInd w:val="0"/>
        <w:snapToGrid w:val="0"/>
        <w:spacing w:line="360" w:lineRule="auto"/>
        <w:ind w:firstLine="562" w:firstLineChars="20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 xml:space="preserve">第七条、此协议自签字盖章之日起生效。 </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（以下无正文） </w:t>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 xml:space="preserve">                            </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承诺方：</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代表人：</w:t>
      </w:r>
    </w:p>
    <w:p>
      <w:pPr>
        <w:pStyle w:val="7"/>
        <w:spacing w:line="360" w:lineRule="auto"/>
        <w:ind w:left="0" w:leftChars="0" w:firstLine="0" w:firstLineChars="0"/>
        <w:rPr>
          <w:rFonts w:ascii="仿宋" w:hAnsi="仿宋" w:eastAsia="仿宋" w:cs="仿宋"/>
          <w:color w:val="000000"/>
          <w:kern w:val="0"/>
          <w:sz w:val="28"/>
          <w:szCs w:val="28"/>
        </w:rPr>
      </w:pPr>
      <w:r>
        <w:rPr>
          <w:rFonts w:hint="eastAsia" w:ascii="仿宋" w:hAnsi="仿宋" w:eastAsia="仿宋" w:cs="仿宋"/>
          <w:color w:val="000000"/>
          <w:kern w:val="0"/>
          <w:sz w:val="28"/>
          <w:szCs w:val="28"/>
        </w:rPr>
        <w:t>日期：</w:t>
      </w:r>
    </w:p>
    <w:p>
      <w:pPr>
        <w:spacing w:line="360" w:lineRule="auto"/>
        <w:rPr>
          <w:sz w:val="28"/>
          <w:szCs w:val="28"/>
        </w:rPr>
      </w:pPr>
    </w:p>
    <w:sectPr>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C860DE"/>
    <w:multiLevelType w:val="multilevel"/>
    <w:tmpl w:val="57C860DE"/>
    <w:lvl w:ilvl="0" w:tentative="0">
      <w:start w:val="1"/>
      <w:numFmt w:val="japaneseCounting"/>
      <w:lvlText w:val="%1、"/>
      <w:lvlJc w:val="left"/>
      <w:pPr>
        <w:ind w:left="1271" w:hanging="720"/>
      </w:pPr>
      <w:rPr>
        <w:rFonts w:hint="default"/>
      </w:rPr>
    </w:lvl>
    <w:lvl w:ilvl="1" w:tentative="0">
      <w:start w:val="1"/>
      <w:numFmt w:val="lowerLetter"/>
      <w:lvlText w:val="%2)"/>
      <w:lvlJc w:val="left"/>
      <w:pPr>
        <w:ind w:left="1391" w:hanging="420"/>
      </w:pPr>
    </w:lvl>
    <w:lvl w:ilvl="2" w:tentative="0">
      <w:start w:val="1"/>
      <w:numFmt w:val="lowerRoman"/>
      <w:lvlText w:val="%3."/>
      <w:lvlJc w:val="right"/>
      <w:pPr>
        <w:ind w:left="1811" w:hanging="420"/>
      </w:pPr>
    </w:lvl>
    <w:lvl w:ilvl="3" w:tentative="0">
      <w:start w:val="1"/>
      <w:numFmt w:val="decimal"/>
      <w:lvlText w:val="%4."/>
      <w:lvlJc w:val="left"/>
      <w:pPr>
        <w:ind w:left="2231" w:hanging="420"/>
      </w:pPr>
    </w:lvl>
    <w:lvl w:ilvl="4" w:tentative="0">
      <w:start w:val="1"/>
      <w:numFmt w:val="lowerLetter"/>
      <w:lvlText w:val="%5)"/>
      <w:lvlJc w:val="left"/>
      <w:pPr>
        <w:ind w:left="2651" w:hanging="420"/>
      </w:pPr>
    </w:lvl>
    <w:lvl w:ilvl="5" w:tentative="0">
      <w:start w:val="1"/>
      <w:numFmt w:val="lowerRoman"/>
      <w:lvlText w:val="%6."/>
      <w:lvlJc w:val="right"/>
      <w:pPr>
        <w:ind w:left="3071" w:hanging="420"/>
      </w:pPr>
    </w:lvl>
    <w:lvl w:ilvl="6" w:tentative="0">
      <w:start w:val="1"/>
      <w:numFmt w:val="decimal"/>
      <w:lvlText w:val="%7."/>
      <w:lvlJc w:val="left"/>
      <w:pPr>
        <w:ind w:left="3491" w:hanging="420"/>
      </w:pPr>
    </w:lvl>
    <w:lvl w:ilvl="7" w:tentative="0">
      <w:start w:val="1"/>
      <w:numFmt w:val="lowerLetter"/>
      <w:lvlText w:val="%8)"/>
      <w:lvlJc w:val="left"/>
      <w:pPr>
        <w:ind w:left="3911" w:hanging="420"/>
      </w:pPr>
    </w:lvl>
    <w:lvl w:ilvl="8" w:tentative="0">
      <w:start w:val="1"/>
      <w:numFmt w:val="lowerRoman"/>
      <w:lvlText w:val="%9."/>
      <w:lvlJc w:val="right"/>
      <w:pPr>
        <w:ind w:left="4331" w:hanging="420"/>
      </w:pPr>
    </w:lvl>
  </w:abstractNum>
  <w:abstractNum w:abstractNumId="1">
    <w:nsid w:val="605E1371"/>
    <w:multiLevelType w:val="singleLevel"/>
    <w:tmpl w:val="605E1371"/>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yM2I3MTMzMTA0YWE0NTI1NTk3MmMzYzAyYzVjZmQifQ=="/>
  </w:docVars>
  <w:rsids>
    <w:rsidRoot w:val="57C83F26"/>
    <w:rsid w:val="000474F4"/>
    <w:rsid w:val="00536B45"/>
    <w:rsid w:val="005C047A"/>
    <w:rsid w:val="005C660C"/>
    <w:rsid w:val="00826AFD"/>
    <w:rsid w:val="00916971"/>
    <w:rsid w:val="00994A11"/>
    <w:rsid w:val="00A960F6"/>
    <w:rsid w:val="00CB60D7"/>
    <w:rsid w:val="00D852C0"/>
    <w:rsid w:val="00E009F7"/>
    <w:rsid w:val="00E34059"/>
    <w:rsid w:val="022000B9"/>
    <w:rsid w:val="028D221B"/>
    <w:rsid w:val="0738781C"/>
    <w:rsid w:val="108F6A5A"/>
    <w:rsid w:val="156F0091"/>
    <w:rsid w:val="184527F0"/>
    <w:rsid w:val="1D986B03"/>
    <w:rsid w:val="1F7632A0"/>
    <w:rsid w:val="24F52DF2"/>
    <w:rsid w:val="290510F1"/>
    <w:rsid w:val="2A5D5EBB"/>
    <w:rsid w:val="2A602CE5"/>
    <w:rsid w:val="395B1725"/>
    <w:rsid w:val="3AF46EF4"/>
    <w:rsid w:val="406E79DA"/>
    <w:rsid w:val="424D50A3"/>
    <w:rsid w:val="42574E9F"/>
    <w:rsid w:val="4350450D"/>
    <w:rsid w:val="45DF353B"/>
    <w:rsid w:val="49A6329B"/>
    <w:rsid w:val="4C645473"/>
    <w:rsid w:val="4D093C3E"/>
    <w:rsid w:val="4FD95A2F"/>
    <w:rsid w:val="4FFFC08A"/>
    <w:rsid w:val="54337A98"/>
    <w:rsid w:val="54F16FD8"/>
    <w:rsid w:val="57C83F26"/>
    <w:rsid w:val="5E074D32"/>
    <w:rsid w:val="5E657C15"/>
    <w:rsid w:val="5F1E12B1"/>
    <w:rsid w:val="62397DD0"/>
    <w:rsid w:val="675F389C"/>
    <w:rsid w:val="6B10327C"/>
    <w:rsid w:val="6BDE0546"/>
    <w:rsid w:val="73AE1D4C"/>
    <w:rsid w:val="7A773E39"/>
    <w:rsid w:val="7B686555"/>
    <w:rsid w:val="7EFFF10B"/>
    <w:rsid w:val="DCA90971"/>
    <w:rsid w:val="FFDF1E7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annotation text"/>
    <w:basedOn w:val="1"/>
    <w:unhideWhenUsed/>
    <w:qFormat/>
    <w:uiPriority w:val="99"/>
    <w:pPr>
      <w:jc w:val="left"/>
    </w:pPr>
  </w:style>
  <w:style w:type="paragraph" w:styleId="4">
    <w:name w:val="Body Text Indent"/>
    <w:basedOn w:val="1"/>
    <w:qFormat/>
    <w:uiPriority w:val="0"/>
    <w:pPr>
      <w:spacing w:after="120"/>
      <w:ind w:left="420" w:leftChars="200"/>
    </w:pPr>
    <w:rPr>
      <w:rFonts w:ascii="Calibri" w:hAnsi="Calibri"/>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4"/>
    <w:qFormat/>
    <w:uiPriority w:val="0"/>
    <w:pPr>
      <w:ind w:firstLine="420" w:firstLineChars="200"/>
    </w:pPr>
    <w:rPr>
      <w:rFonts w:ascii="Times New Roman"/>
    </w:rPr>
  </w:style>
  <w:style w:type="character" w:styleId="10">
    <w:name w:val="Hyperlink"/>
    <w:qFormat/>
    <w:uiPriority w:val="0"/>
    <w:rPr>
      <w:color w:val="0000FF"/>
      <w:u w:val="none"/>
    </w:rPr>
  </w:style>
  <w:style w:type="paragraph" w:customStyle="1" w:styleId="11">
    <w:name w:val="列出段落1"/>
    <w:basedOn w:val="1"/>
    <w:qFormat/>
    <w:uiPriority w:val="99"/>
    <w:pPr>
      <w:ind w:firstLine="420" w:firstLineChars="200"/>
    </w:pPr>
  </w:style>
  <w:style w:type="character" w:customStyle="1" w:styleId="12">
    <w:name w:val="页眉 字符"/>
    <w:basedOn w:val="9"/>
    <w:link w:val="6"/>
    <w:qFormat/>
    <w:uiPriority w:val="0"/>
    <w:rPr>
      <w:kern w:val="2"/>
      <w:sz w:val="18"/>
      <w:szCs w:val="18"/>
    </w:rPr>
  </w:style>
  <w:style w:type="character" w:customStyle="1" w:styleId="13">
    <w:name w:val="页脚 字符"/>
    <w:basedOn w:val="9"/>
    <w:link w:val="5"/>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8</Pages>
  <Words>3306</Words>
  <Characters>3653</Characters>
  <Lines>29</Lines>
  <Paragraphs>8</Paragraphs>
  <TotalTime>52</TotalTime>
  <ScaleCrop>false</ScaleCrop>
  <LinksUpToDate>false</LinksUpToDate>
  <CharactersWithSpaces>3711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2023-03-28T16:07:00Z</dcterms:created>
  <dc:creator>周靖宇</dc:creator>
  <cp:lastModifiedBy>千泽</cp:lastModifiedBy>
  <dcterms:modified xsi:type="dcterms:W3CDTF">2023-05-06T01:51:54Z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8530BE3CC2DB477EBFC7B96BD25BA5FC_13</vt:lpwstr>
  </property>
</Properties>
</file>