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kern w:val="0"/>
          <w:position w:val="5"/>
          <w:sz w:val="36"/>
          <w:szCs w:val="36"/>
          <w:highlight w:val="none"/>
        </w:rPr>
      </w:pPr>
      <w:r>
        <w:rPr>
          <w:rFonts w:hint="eastAsia" w:ascii="仿宋" w:hAnsi="仿宋" w:eastAsia="仿宋" w:cs="仿宋"/>
          <w:b/>
          <w:bCs/>
          <w:kern w:val="0"/>
          <w:position w:val="5"/>
          <w:sz w:val="36"/>
          <w:szCs w:val="36"/>
          <w:highlight w:val="none"/>
        </w:rPr>
        <w:t>蒙牛</w:t>
      </w:r>
      <w:r>
        <w:rPr>
          <w:rFonts w:hint="eastAsia" w:ascii="仿宋" w:hAnsi="仿宋" w:eastAsia="仿宋" w:cs="仿宋"/>
          <w:b/>
          <w:bCs/>
          <w:kern w:val="0"/>
          <w:position w:val="5"/>
          <w:sz w:val="36"/>
          <w:szCs w:val="36"/>
          <w:highlight w:val="none"/>
          <w:lang w:val="en-US" w:eastAsia="zh-CN"/>
        </w:rPr>
        <w:t>乳制品</w:t>
      </w:r>
      <w:r>
        <w:rPr>
          <w:rFonts w:hint="eastAsia" w:ascii="仿宋" w:hAnsi="仿宋" w:eastAsia="仿宋" w:cs="仿宋"/>
          <w:b/>
          <w:bCs/>
          <w:kern w:val="0"/>
          <w:position w:val="5"/>
          <w:sz w:val="36"/>
          <w:szCs w:val="36"/>
          <w:highlight w:val="none"/>
        </w:rPr>
        <w:t>冰品清远工厂</w:t>
      </w:r>
      <w:r>
        <w:rPr>
          <w:rFonts w:hint="eastAsia" w:ascii="仿宋" w:hAnsi="仿宋" w:eastAsia="仿宋" w:cs="仿宋"/>
          <w:b/>
          <w:bCs/>
          <w:kern w:val="0"/>
          <w:position w:val="5"/>
          <w:sz w:val="36"/>
          <w:szCs w:val="36"/>
          <w:highlight w:val="none"/>
          <w:lang w:val="en-US" w:eastAsia="zh-CN"/>
        </w:rPr>
        <w:t>无菌压缩空气系统升级-安装采招项</w:t>
      </w:r>
      <w:r>
        <w:rPr>
          <w:rFonts w:hint="eastAsia" w:ascii="仿宋" w:hAnsi="仿宋" w:eastAsia="仿宋" w:cs="仿宋"/>
          <w:b/>
          <w:bCs/>
          <w:kern w:val="0"/>
          <w:position w:val="5"/>
          <w:sz w:val="36"/>
          <w:szCs w:val="36"/>
          <w:highlight w:val="none"/>
        </w:rPr>
        <w:t>目竞争性谈判信息公告</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内蒙古华晟工程项目管理有限公司受蒙牛乳制品清远有限责任公司委托，</w:t>
      </w:r>
      <w:r>
        <w:rPr>
          <w:rFonts w:hint="eastAsia" w:ascii="仿宋" w:hAnsi="仿宋" w:eastAsia="仿宋" w:cs="仿宋"/>
          <w:position w:val="5"/>
          <w:sz w:val="28"/>
          <w:szCs w:val="28"/>
          <w:highlight w:val="none"/>
          <w:lang w:eastAsia="zh-Hans"/>
        </w:rPr>
        <w:t>就</w:t>
      </w:r>
      <w:r>
        <w:rPr>
          <w:rFonts w:hint="eastAsia" w:ascii="仿宋" w:hAnsi="仿宋" w:eastAsia="仿宋" w:cs="仿宋"/>
          <w:position w:val="5"/>
          <w:sz w:val="28"/>
          <w:szCs w:val="28"/>
          <w:highlight w:val="none"/>
          <w:lang w:val="en-US" w:eastAsia="zh-Hans"/>
        </w:rPr>
        <w:t>无菌压缩空气系统升级-安装采招项</w:t>
      </w:r>
      <w:r>
        <w:rPr>
          <w:rFonts w:hint="eastAsia" w:ascii="仿宋" w:hAnsi="仿宋" w:eastAsia="仿宋" w:cs="仿宋"/>
          <w:position w:val="5"/>
          <w:sz w:val="28"/>
          <w:szCs w:val="28"/>
          <w:highlight w:val="none"/>
          <w:lang w:eastAsia="zh-Hans"/>
        </w:rPr>
        <w:t>目</w:t>
      </w:r>
      <w:r>
        <w:rPr>
          <w:rFonts w:hint="eastAsia" w:ascii="仿宋" w:hAnsi="仿宋" w:eastAsia="仿宋" w:cs="仿宋"/>
          <w:position w:val="5"/>
          <w:sz w:val="28"/>
          <w:szCs w:val="28"/>
          <w:highlight w:val="none"/>
        </w:rPr>
        <w:t>进行竞争性谈判</w:t>
      </w:r>
      <w:r>
        <w:rPr>
          <w:rFonts w:hint="eastAsia" w:ascii="仿宋" w:hAnsi="仿宋" w:eastAsia="仿宋" w:cs="仿宋"/>
          <w:position w:val="5"/>
          <w:sz w:val="28"/>
          <w:szCs w:val="28"/>
          <w:highlight w:val="none"/>
          <w:lang w:eastAsia="zh-CN"/>
        </w:rPr>
        <w:t>，</w:t>
      </w:r>
      <w:r>
        <w:rPr>
          <w:rFonts w:hint="eastAsia" w:ascii="仿宋" w:hAnsi="仿宋" w:eastAsia="仿宋" w:cs="仿宋"/>
          <w:position w:val="5"/>
          <w:sz w:val="28"/>
          <w:szCs w:val="28"/>
          <w:highlight w:val="none"/>
        </w:rPr>
        <w:t>欢迎符合资格条件的竞谈商参加。</w:t>
      </w:r>
    </w:p>
    <w:p>
      <w:pPr>
        <w:spacing w:line="360" w:lineRule="auto"/>
        <w:ind w:firstLine="562" w:firstLineChars="200"/>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rPr>
        <w:t>一、项目编号：MNCGJH-20230405-0001</w:t>
      </w:r>
    </w:p>
    <w:p>
      <w:pPr>
        <w:spacing w:line="360" w:lineRule="auto"/>
        <w:ind w:firstLine="562" w:firstLineChars="200"/>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rPr>
        <w:t>二、项目名称</w:t>
      </w:r>
      <w:r>
        <w:rPr>
          <w:rFonts w:hint="eastAsia" w:ascii="仿宋" w:hAnsi="仿宋" w:eastAsia="仿宋" w:cs="仿宋"/>
          <w:position w:val="5"/>
          <w:sz w:val="28"/>
          <w:szCs w:val="28"/>
          <w:highlight w:val="none"/>
        </w:rPr>
        <w:t>：</w:t>
      </w:r>
      <w:r>
        <w:rPr>
          <w:rFonts w:hint="eastAsia" w:ascii="仿宋" w:hAnsi="仿宋" w:eastAsia="仿宋" w:cs="仿宋"/>
          <w:position w:val="5"/>
          <w:sz w:val="28"/>
          <w:szCs w:val="28"/>
          <w:highlight w:val="none"/>
          <w:lang w:val="en-US" w:eastAsia="zh-CN"/>
        </w:rPr>
        <w:t>无菌压缩空气系统升级-安装采招项目</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三、项目概况：</w:t>
      </w:r>
    </w:p>
    <w:p>
      <w:pPr>
        <w:spacing w:line="360" w:lineRule="auto"/>
        <w:ind w:firstLine="560" w:firstLineChars="200"/>
        <w:rPr>
          <w:rFonts w:hint="eastAsia" w:ascii="仿宋" w:hAnsi="仿宋" w:eastAsia="仿宋" w:cs="仿宋"/>
          <w:position w:val="5"/>
          <w:sz w:val="28"/>
          <w:szCs w:val="28"/>
          <w:highlight w:val="none"/>
          <w:lang w:val="en-US" w:eastAsia="zh-CN"/>
        </w:rPr>
      </w:pPr>
      <w:r>
        <w:rPr>
          <w:rFonts w:hint="eastAsia" w:ascii="仿宋" w:hAnsi="仿宋" w:eastAsia="仿宋" w:cs="仿宋"/>
          <w:position w:val="5"/>
          <w:sz w:val="28"/>
          <w:szCs w:val="28"/>
          <w:highlight w:val="none"/>
          <w:lang w:val="en-US" w:eastAsia="zh-CN"/>
        </w:rPr>
        <w:t>本工程为蒙牛冰品清远工厂压缩空气系统改扩建工程。</w:t>
      </w:r>
      <w:r>
        <w:rPr>
          <w:rFonts w:hint="default" w:ascii="仿宋" w:hAnsi="仿宋" w:eastAsia="仿宋" w:cs="仿宋"/>
          <w:position w:val="5"/>
          <w:sz w:val="28"/>
          <w:szCs w:val="28"/>
          <w:highlight w:val="none"/>
          <w:lang w:eastAsia="zh-CN"/>
        </w:rPr>
        <w:t>项目</w:t>
      </w:r>
      <w:r>
        <w:rPr>
          <w:rFonts w:hint="eastAsia" w:ascii="仿宋" w:hAnsi="仿宋" w:eastAsia="仿宋" w:cs="仿宋"/>
          <w:position w:val="5"/>
          <w:sz w:val="28"/>
          <w:szCs w:val="28"/>
          <w:highlight w:val="none"/>
          <w:lang w:val="en-US" w:eastAsia="zh-CN"/>
        </w:rPr>
        <w:t>主要包括：</w:t>
      </w:r>
    </w:p>
    <w:p>
      <w:pPr>
        <w:numPr>
          <w:ilvl w:val="0"/>
          <w:numId w:val="1"/>
        </w:numPr>
        <w:spacing w:line="360" w:lineRule="auto"/>
        <w:ind w:firstLine="560" w:firstLineChars="200"/>
        <w:rPr>
          <w:rFonts w:hint="default" w:ascii="仿宋" w:hAnsi="仿宋" w:eastAsia="仿宋" w:cs="仿宋"/>
          <w:position w:val="5"/>
          <w:sz w:val="28"/>
          <w:szCs w:val="28"/>
          <w:highlight w:val="none"/>
          <w:lang w:eastAsia="zh-CN"/>
        </w:rPr>
      </w:pPr>
      <w:r>
        <w:rPr>
          <w:rFonts w:hint="default" w:ascii="仿宋" w:hAnsi="仿宋" w:eastAsia="仿宋" w:cs="仿宋"/>
          <w:position w:val="5"/>
          <w:sz w:val="28"/>
          <w:szCs w:val="28"/>
          <w:highlight w:val="none"/>
          <w:lang w:eastAsia="zh-CN"/>
        </w:rPr>
        <w:t>旧设备拆</w:t>
      </w:r>
      <w:r>
        <w:rPr>
          <w:rFonts w:hint="eastAsia" w:ascii="仿宋" w:hAnsi="仿宋" w:eastAsia="仿宋" w:cs="仿宋"/>
          <w:position w:val="5"/>
          <w:sz w:val="28"/>
          <w:szCs w:val="28"/>
          <w:highlight w:val="none"/>
          <w:lang w:val="en-US" w:eastAsia="zh-CN"/>
        </w:rPr>
        <w:t>除</w:t>
      </w:r>
      <w:r>
        <w:rPr>
          <w:rFonts w:hint="default" w:ascii="仿宋" w:hAnsi="仿宋" w:eastAsia="仿宋" w:cs="仿宋"/>
          <w:position w:val="5"/>
          <w:sz w:val="28"/>
          <w:szCs w:val="28"/>
          <w:highlight w:val="none"/>
          <w:lang w:eastAsia="zh-CN"/>
        </w:rPr>
        <w:t>新设备安装：</w:t>
      </w:r>
      <w:r>
        <w:rPr>
          <w:rFonts w:hint="eastAsia" w:ascii="仿宋" w:hAnsi="仿宋" w:eastAsia="仿宋" w:cs="仿宋"/>
          <w:position w:val="5"/>
          <w:sz w:val="28"/>
          <w:szCs w:val="28"/>
          <w:highlight w:val="none"/>
          <w:lang w:val="en-US" w:eastAsia="zh-CN"/>
        </w:rPr>
        <w:t>空压机房原有空压机/冷干机/吸附机拆除，新设备</w:t>
      </w:r>
      <w:r>
        <w:rPr>
          <w:rFonts w:hint="default" w:ascii="仿宋" w:hAnsi="仿宋" w:eastAsia="仿宋" w:cs="仿宋"/>
          <w:position w:val="5"/>
          <w:sz w:val="28"/>
          <w:szCs w:val="28"/>
          <w:highlight w:val="none"/>
          <w:lang w:eastAsia="zh-CN"/>
        </w:rPr>
        <w:t>含空压机、冷干机、干燥机、储气罐及相关过滤器、流量计、露点仪等设备设施的</w:t>
      </w:r>
      <w:r>
        <w:rPr>
          <w:rFonts w:hint="eastAsia" w:ascii="仿宋" w:hAnsi="仿宋" w:eastAsia="仿宋" w:cs="仿宋"/>
          <w:position w:val="5"/>
          <w:sz w:val="28"/>
          <w:szCs w:val="28"/>
          <w:highlight w:val="none"/>
          <w:lang w:val="en-US" w:eastAsia="zh-CN"/>
        </w:rPr>
        <w:t>安装</w:t>
      </w:r>
      <w:r>
        <w:rPr>
          <w:rFonts w:hint="default" w:ascii="仿宋" w:hAnsi="仿宋" w:eastAsia="仿宋" w:cs="仿宋"/>
          <w:position w:val="5"/>
          <w:sz w:val="28"/>
          <w:szCs w:val="28"/>
          <w:highlight w:val="none"/>
          <w:lang w:eastAsia="zh-CN"/>
        </w:rPr>
        <w:t>；</w:t>
      </w:r>
    </w:p>
    <w:p>
      <w:pPr>
        <w:numPr>
          <w:ilvl w:val="0"/>
          <w:numId w:val="1"/>
        </w:numPr>
        <w:spacing w:line="360" w:lineRule="auto"/>
        <w:ind w:firstLine="560" w:firstLineChars="200"/>
        <w:rPr>
          <w:rFonts w:hint="eastAsia" w:ascii="仿宋" w:hAnsi="仿宋" w:eastAsia="仿宋" w:cs="仿宋"/>
          <w:position w:val="5"/>
          <w:sz w:val="28"/>
          <w:szCs w:val="28"/>
          <w:highlight w:val="none"/>
          <w:lang w:val="en-US" w:eastAsia="zh-CN"/>
        </w:rPr>
      </w:pPr>
      <w:r>
        <w:rPr>
          <w:rFonts w:hint="default" w:ascii="仿宋" w:hAnsi="仿宋" w:eastAsia="仿宋" w:cs="仿宋"/>
          <w:position w:val="5"/>
          <w:sz w:val="28"/>
          <w:szCs w:val="28"/>
          <w:highlight w:val="none"/>
          <w:lang w:eastAsia="zh-CN"/>
        </w:rPr>
        <w:t>设备安装涉及的电气电柜改造：新设备用电涉及的电缆线铺设及配电室电柜的协调改造安装。</w:t>
      </w:r>
    </w:p>
    <w:p>
      <w:pPr>
        <w:numPr>
          <w:ilvl w:val="0"/>
          <w:numId w:val="1"/>
        </w:numPr>
        <w:spacing w:line="360" w:lineRule="auto"/>
        <w:ind w:firstLine="560" w:firstLineChars="200"/>
        <w:rPr>
          <w:rFonts w:hint="eastAsia" w:ascii="仿宋" w:hAnsi="仿宋" w:eastAsia="仿宋" w:cs="仿宋"/>
          <w:position w:val="5"/>
          <w:sz w:val="28"/>
          <w:szCs w:val="28"/>
          <w:highlight w:val="none"/>
          <w:lang w:val="en-US" w:eastAsia="zh-CN"/>
        </w:rPr>
      </w:pPr>
      <w:r>
        <w:rPr>
          <w:rFonts w:hint="default" w:ascii="仿宋" w:hAnsi="仿宋" w:eastAsia="仿宋" w:cs="仿宋"/>
          <w:position w:val="5"/>
          <w:sz w:val="28"/>
          <w:szCs w:val="28"/>
          <w:highlight w:val="none"/>
          <w:lang w:eastAsia="zh-CN"/>
        </w:rPr>
        <w:t>设备安装涉及的相关作业：涉及设备房顶安装的吊装、平台及其他相关作业，整体安装项目从动力车间到生产车间所有</w:t>
      </w:r>
      <w:r>
        <w:rPr>
          <w:rFonts w:hint="eastAsia" w:ascii="仿宋" w:hAnsi="仿宋" w:eastAsia="仿宋" w:cs="仿宋"/>
          <w:position w:val="5"/>
          <w:sz w:val="28"/>
          <w:szCs w:val="28"/>
          <w:highlight w:val="none"/>
          <w:lang w:val="en-US" w:eastAsia="zh-CN"/>
        </w:rPr>
        <w:t>管路敷设</w:t>
      </w:r>
      <w:r>
        <w:rPr>
          <w:rFonts w:hint="default" w:ascii="仿宋" w:hAnsi="仿宋" w:eastAsia="仿宋" w:cs="仿宋"/>
          <w:position w:val="5"/>
          <w:sz w:val="28"/>
          <w:szCs w:val="28"/>
          <w:highlight w:val="none"/>
          <w:lang w:eastAsia="zh-CN"/>
        </w:rPr>
        <w:t>，初步设计生产车间主管道为环形铺设，各区域工段的设备用气为独立分支管道。</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lang w:eastAsia="zh-Hans"/>
        </w:rPr>
        <w:t>四、</w:t>
      </w:r>
      <w:r>
        <w:rPr>
          <w:rFonts w:hint="eastAsia" w:ascii="仿宋" w:hAnsi="仿宋" w:eastAsia="仿宋" w:cs="仿宋"/>
          <w:b/>
          <w:position w:val="5"/>
          <w:sz w:val="28"/>
          <w:szCs w:val="28"/>
          <w:highlight w:val="none"/>
        </w:rPr>
        <w:t>资格要求：</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1、营业执照、组织机构代码证、税务登记证、资质证书、实施许可的提供相关许可证书、法定代表人证明书、法定代表人授权委托书、近</w:t>
      </w:r>
      <w:r>
        <w:rPr>
          <w:rFonts w:hint="eastAsia" w:ascii="仿宋" w:hAnsi="仿宋" w:eastAsia="仿宋" w:cs="仿宋"/>
          <w:color w:val="000000"/>
          <w:position w:val="5"/>
          <w:sz w:val="28"/>
          <w:szCs w:val="28"/>
          <w:highlight w:val="none"/>
          <w:lang w:val="en-US" w:eastAsia="zh-CN"/>
        </w:rPr>
        <w:t>3</w:t>
      </w:r>
      <w:r>
        <w:rPr>
          <w:rFonts w:hint="eastAsia" w:ascii="仿宋" w:hAnsi="仿宋" w:eastAsia="仿宋" w:cs="仿宋"/>
          <w:color w:val="000000"/>
          <w:position w:val="5"/>
          <w:sz w:val="28"/>
          <w:szCs w:val="28"/>
          <w:highlight w:val="none"/>
        </w:rPr>
        <w:t>年类似项目业绩表及其他证明材料等。</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2、竞谈人未被列入国家企业信用信息公示系统（</w:t>
      </w:r>
      <w:r>
        <w:rPr>
          <w:rFonts w:hint="eastAsia" w:ascii="仿宋" w:hAnsi="仿宋" w:eastAsia="仿宋" w:cs="仿宋"/>
          <w:color w:val="000000"/>
          <w:position w:val="5"/>
          <w:sz w:val="28"/>
          <w:szCs w:val="28"/>
          <w:highlight w:val="none"/>
        </w:rPr>
        <w:fldChar w:fldCharType="begin"/>
      </w:r>
      <w:r>
        <w:rPr>
          <w:rFonts w:hint="eastAsia" w:ascii="仿宋" w:hAnsi="仿宋" w:eastAsia="仿宋" w:cs="仿宋"/>
          <w:color w:val="000000"/>
          <w:position w:val="5"/>
          <w:sz w:val="28"/>
          <w:szCs w:val="28"/>
          <w:highlight w:val="none"/>
        </w:rPr>
        <w:instrText xml:space="preserve"> HYPERLINK "http://www.gsxt.gov.cn/index.html%EF%BC%89%E4%B8%A5%E9%87%8D%E8%BF%9D%E6%B3%95%E5%A4%B1%E4%BF%A1%E4%BC%81%E4%B8%9A%E5%90%8D%E5%8D%95" </w:instrText>
      </w:r>
      <w:r>
        <w:rPr>
          <w:rFonts w:hint="eastAsia" w:ascii="仿宋" w:hAnsi="仿宋" w:eastAsia="仿宋" w:cs="仿宋"/>
          <w:color w:val="000000"/>
          <w:position w:val="5"/>
          <w:sz w:val="28"/>
          <w:szCs w:val="28"/>
          <w:highlight w:val="none"/>
        </w:rPr>
        <w:fldChar w:fldCharType="separate"/>
      </w:r>
      <w:r>
        <w:rPr>
          <w:rFonts w:hint="eastAsia" w:ascii="仿宋" w:hAnsi="仿宋" w:eastAsia="仿宋" w:cs="仿宋"/>
          <w:color w:val="000000"/>
          <w:position w:val="5"/>
          <w:sz w:val="28"/>
          <w:szCs w:val="28"/>
          <w:highlight w:val="none"/>
        </w:rPr>
        <w:t>http://www.gsxt.gov.cn/index.html）严重违法失信企业名单</w:t>
      </w:r>
      <w:r>
        <w:rPr>
          <w:rFonts w:hint="eastAsia" w:ascii="仿宋" w:hAnsi="仿宋" w:eastAsia="仿宋" w:cs="仿宋"/>
          <w:color w:val="000000"/>
          <w:position w:val="5"/>
          <w:sz w:val="28"/>
          <w:szCs w:val="28"/>
          <w:highlight w:val="none"/>
        </w:rPr>
        <w:fldChar w:fldCharType="end"/>
      </w:r>
      <w:r>
        <w:rPr>
          <w:rFonts w:hint="eastAsia" w:ascii="仿宋" w:hAnsi="仿宋" w:eastAsia="仿宋" w:cs="仿宋"/>
          <w:color w:val="000000"/>
          <w:position w:val="5"/>
          <w:sz w:val="28"/>
          <w:szCs w:val="28"/>
          <w:highlight w:val="none"/>
        </w:rPr>
        <w:t>。</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3、单位法定代表人或投资人为同一人，或者存在控股、投资、管理关系的不同单位，不得参加同一标段或者未划分标段的同一竞谈项目投标；法定代表人参股的企业，只允许一家参与竞争。</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4、本次竞谈不接受多家单位联合报价，不允许分包或转包。</w:t>
      </w:r>
    </w:p>
    <w:p>
      <w:pPr>
        <w:spacing w:line="360" w:lineRule="auto"/>
        <w:ind w:firstLine="565" w:firstLineChars="202"/>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rPr>
        <w:t>5、不接受中粮及蒙牛供应商黑名单（以蒙牛集团采购执行管理部下发的黑名单为准）的企业参与竞争。</w:t>
      </w:r>
    </w:p>
    <w:p>
      <w:pPr>
        <w:spacing w:line="360" w:lineRule="auto"/>
        <w:ind w:firstLine="562" w:firstLineChars="200"/>
        <w:jc w:val="left"/>
        <w:rPr>
          <w:rFonts w:hint="eastAsia" w:ascii="仿宋" w:hAnsi="仿宋" w:eastAsia="仿宋" w:cs="仿宋"/>
          <w:b/>
          <w:i/>
          <w:color w:val="FF0000"/>
          <w:position w:val="5"/>
          <w:sz w:val="28"/>
          <w:szCs w:val="28"/>
          <w:highlight w:val="none"/>
        </w:rPr>
      </w:pPr>
      <w:r>
        <w:rPr>
          <w:rFonts w:hint="eastAsia" w:ascii="仿宋" w:hAnsi="仿宋" w:eastAsia="仿宋" w:cs="仿宋"/>
          <w:b/>
          <w:color w:val="000000"/>
          <w:position w:val="5"/>
          <w:sz w:val="28"/>
          <w:szCs w:val="28"/>
          <w:highlight w:val="none"/>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报名资格文件的组成及顺序按照如下要求提供：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textAlignment w:val="baseline"/>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1、有效的营业执照（副本）、组织机构代码证（副本）、税务登记证（副本）（注:以上三项或三证合一营业执照副本）；有效的开户行许可证/基本存款；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textAlignment w:val="baseline"/>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2、能开具增值税专用发票的资格，提供一般纳税人认定资格证明材料；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textAlignment w:val="baseline"/>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3、提供本企业近一年财务报表或第三方财务审计报告；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textAlignment w:val="baseline"/>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4、法定代表人证明书或授权委托书原件；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备注：法定代表人须携带法人证明材料及身份证原件，若为被授权人须携带一份法人授权委托书和身份证原件及授权委托人近一年内在本单位的社保证明材料。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textAlignment w:val="baseline"/>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5、企业最近1年任意3个月的依法纳税证明材料和社保缴纳证明材料；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textAlignment w:val="baseline"/>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6、企业近三年（2020年2月-至今）两个及以上类似项目业绩的证明材料（以合同以及订单或验收报告为准）；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textAlignment w:val="baseline"/>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7、潜在竞谈单位所报标段信息表（附件1）；</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textAlignment w:val="baseline"/>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8、数据保密协议（附件2）。</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spacing w:line="360" w:lineRule="auto"/>
        <w:ind w:firstLine="560" w:firstLineChars="200"/>
        <w:jc w:val="left"/>
        <w:rPr>
          <w:rStyle w:val="17"/>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rPr>
          <w:rFonts w:hint="eastAsia" w:ascii="仿宋" w:hAnsi="仿宋" w:eastAsia="仿宋" w:cs="仿宋"/>
          <w:color w:val="000000"/>
          <w:position w:val="5"/>
          <w:sz w:val="28"/>
          <w:szCs w:val="28"/>
          <w:highlight w:val="none"/>
        </w:rPr>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highlight w:val="none"/>
        </w:rPr>
        <w:t>。</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六、项目时间安排及要求：</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1、报名时间：</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13</w:t>
      </w:r>
      <w:r>
        <w:rPr>
          <w:rFonts w:hint="eastAsia" w:ascii="仿宋" w:hAnsi="仿宋" w:eastAsia="仿宋" w:cs="仿宋"/>
          <w:position w:val="5"/>
          <w:sz w:val="28"/>
          <w:szCs w:val="28"/>
          <w:highlight w:val="none"/>
        </w:rPr>
        <w:t>日至</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17</w:t>
      </w:r>
      <w:r>
        <w:rPr>
          <w:rFonts w:hint="eastAsia" w:ascii="仿宋" w:hAnsi="仿宋" w:eastAsia="仿宋" w:cs="仿宋"/>
          <w:position w:val="5"/>
          <w:sz w:val="28"/>
          <w:szCs w:val="28"/>
          <w:highlight w:val="none"/>
        </w:rPr>
        <w:t>日；</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2、资格预审时间：</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15</w:t>
      </w:r>
      <w:r>
        <w:rPr>
          <w:rFonts w:hint="eastAsia" w:ascii="仿宋" w:hAnsi="仿宋" w:eastAsia="仿宋" w:cs="仿宋"/>
          <w:position w:val="5"/>
          <w:sz w:val="28"/>
          <w:szCs w:val="28"/>
          <w:highlight w:val="none"/>
        </w:rPr>
        <w:t>日至</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18</w:t>
      </w:r>
      <w:r>
        <w:rPr>
          <w:rFonts w:hint="eastAsia" w:ascii="仿宋" w:hAnsi="仿宋" w:eastAsia="仿宋" w:cs="仿宋"/>
          <w:position w:val="5"/>
          <w:sz w:val="28"/>
          <w:szCs w:val="28"/>
          <w:highlight w:val="none"/>
        </w:rPr>
        <w:t>日；</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3、谈判文件发售时间：</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19</w:t>
      </w:r>
      <w:r>
        <w:rPr>
          <w:rFonts w:hint="eastAsia" w:ascii="仿宋" w:hAnsi="仿宋" w:eastAsia="仿宋" w:cs="仿宋"/>
          <w:position w:val="5"/>
          <w:sz w:val="28"/>
          <w:szCs w:val="28"/>
          <w:highlight w:val="none"/>
        </w:rPr>
        <w:t>日至</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20</w:t>
      </w:r>
      <w:r>
        <w:rPr>
          <w:rFonts w:hint="eastAsia" w:ascii="仿宋" w:hAnsi="仿宋" w:eastAsia="仿宋" w:cs="仿宋"/>
          <w:position w:val="5"/>
          <w:sz w:val="28"/>
          <w:szCs w:val="28"/>
          <w:highlight w:val="none"/>
        </w:rPr>
        <w:t>日发售谈判文件</w:t>
      </w:r>
      <w:r>
        <w:rPr>
          <w:rFonts w:hint="eastAsia" w:ascii="仿宋" w:hAnsi="仿宋" w:eastAsia="仿宋" w:cs="仿宋"/>
          <w:position w:val="5"/>
          <w:sz w:val="28"/>
          <w:szCs w:val="28"/>
          <w:highlight w:val="none"/>
          <w:lang w:eastAsia="zh-CN"/>
        </w:rPr>
        <w:t>，</w:t>
      </w:r>
      <w:r>
        <w:rPr>
          <w:rFonts w:hint="eastAsia" w:ascii="仿宋" w:hAnsi="仿宋" w:eastAsia="仿宋" w:cs="仿宋"/>
          <w:position w:val="5"/>
          <w:sz w:val="28"/>
          <w:szCs w:val="28"/>
          <w:highlight w:val="none"/>
        </w:rPr>
        <w:t>谈判文件每套售价：人民币 200 元，售后不退（汇款后将回执扫描后发联系人邮箱主题栏里写清楚项目名称）；</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rPr>
        <w:t>具体打款信息如下：</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开户银行：兴业银行呼和浩特分行营业部</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收款单位: 内蒙古华晟工程项目管理有限公司</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银行账号：592010100100885229</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银行行号：309191002015</w:t>
      </w:r>
    </w:p>
    <w:p>
      <w:pPr>
        <w:spacing w:line="360" w:lineRule="auto"/>
        <w:ind w:firstLine="560" w:firstLineChars="200"/>
        <w:rPr>
          <w:rFonts w:hint="eastAsia" w:ascii="仿宋" w:hAnsi="仿宋" w:eastAsia="仿宋" w:cs="仿宋"/>
          <w:color w:val="000000"/>
          <w:position w:val="5"/>
          <w:sz w:val="28"/>
          <w:szCs w:val="28"/>
          <w:highlight w:val="none"/>
        </w:rPr>
      </w:pPr>
      <w:r>
        <w:rPr>
          <w:rFonts w:hint="eastAsia" w:ascii="仿宋" w:hAnsi="仿宋" w:eastAsia="仿宋" w:cs="仿宋"/>
          <w:position w:val="5"/>
          <w:sz w:val="28"/>
          <w:szCs w:val="28"/>
          <w:highlight w:val="none"/>
        </w:rPr>
        <w:t>4、谈判时间：以发出的谈判文件为准；</w:t>
      </w:r>
    </w:p>
    <w:p>
      <w:pPr>
        <w:spacing w:line="360" w:lineRule="auto"/>
        <w:ind w:firstLine="562" w:firstLineChars="200"/>
        <w:rPr>
          <w:rFonts w:hint="eastAsia" w:ascii="仿宋" w:hAnsi="仿宋" w:eastAsia="仿宋" w:cs="仿宋"/>
          <w:b/>
          <w:position w:val="5"/>
          <w:sz w:val="28"/>
          <w:szCs w:val="28"/>
          <w:highlight w:val="none"/>
          <w:u w:val="single"/>
        </w:rPr>
      </w:pPr>
      <w:r>
        <w:rPr>
          <w:rFonts w:hint="eastAsia" w:ascii="仿宋" w:hAnsi="仿宋" w:eastAsia="仿宋" w:cs="仿宋"/>
          <w:b/>
          <w:position w:val="5"/>
          <w:sz w:val="28"/>
          <w:szCs w:val="28"/>
          <w:highlight w:val="none"/>
        </w:rPr>
        <w:t>七、谈判地点：</w:t>
      </w:r>
      <w:r>
        <w:rPr>
          <w:rFonts w:hint="eastAsia" w:ascii="仿宋" w:hAnsi="仿宋" w:eastAsia="仿宋" w:cs="仿宋"/>
          <w:position w:val="5"/>
          <w:sz w:val="28"/>
          <w:szCs w:val="28"/>
          <w:highlight w:val="none"/>
        </w:rPr>
        <w:t>以发出的谈判文件为准</w:t>
      </w:r>
    </w:p>
    <w:p>
      <w:pPr>
        <w:spacing w:line="360" w:lineRule="auto"/>
        <w:ind w:firstLine="562" w:firstLineChars="200"/>
        <w:rPr>
          <w:rFonts w:hint="eastAsia" w:ascii="仿宋" w:hAnsi="仿宋" w:eastAsia="仿宋" w:cs="仿宋"/>
          <w:b/>
          <w:color w:val="000000"/>
          <w:position w:val="5"/>
          <w:sz w:val="28"/>
          <w:szCs w:val="28"/>
          <w:highlight w:val="none"/>
        </w:rPr>
      </w:pPr>
      <w:r>
        <w:rPr>
          <w:rFonts w:hint="eastAsia" w:ascii="仿宋" w:hAnsi="仿宋" w:eastAsia="仿宋" w:cs="仿宋"/>
          <w:b/>
          <w:color w:val="000000"/>
          <w:position w:val="5"/>
          <w:sz w:val="28"/>
          <w:szCs w:val="28"/>
          <w:highlight w:val="none"/>
        </w:rPr>
        <w:t>八、发布媒体：</w:t>
      </w:r>
    </w:p>
    <w:p>
      <w:pPr>
        <w:pStyle w:val="2"/>
        <w:rPr>
          <w:rFonts w:hint="eastAsia"/>
        </w:rPr>
      </w:pPr>
      <w:r>
        <w:rPr>
          <w:rFonts w:hint="eastAsia" w:ascii="仿宋" w:hAnsi="仿宋" w:eastAsia="仿宋" w:cs="仿宋"/>
          <w:color w:val="000000"/>
          <w:kern w:val="2"/>
          <w:position w:val="5"/>
          <w:sz w:val="28"/>
          <w:szCs w:val="28"/>
          <w:highlight w:val="none"/>
          <w:lang w:val="en-US" w:eastAsia="zh-CN" w:bidi="ar-SA"/>
        </w:rPr>
        <w:t>蒙牛集团电子招标采购交易平台（</w:t>
      </w:r>
      <w:r>
        <w:rPr>
          <w:rFonts w:hint="eastAsia" w:ascii="仿宋" w:hAnsi="仿宋" w:eastAsia="仿宋" w:cs="仿宋"/>
          <w:color w:val="000000"/>
          <w:kern w:val="2"/>
          <w:position w:val="5"/>
          <w:sz w:val="28"/>
          <w:szCs w:val="28"/>
          <w:highlight w:val="none"/>
          <w:lang w:val="en-US" w:eastAsia="zh-CN" w:bidi="ar-SA"/>
        </w:rPr>
        <w:fldChar w:fldCharType="begin"/>
      </w:r>
      <w:r>
        <w:rPr>
          <w:rFonts w:hint="eastAsia" w:ascii="仿宋" w:hAnsi="仿宋" w:eastAsia="仿宋" w:cs="仿宋"/>
          <w:color w:val="000000"/>
          <w:kern w:val="2"/>
          <w:position w:val="5"/>
          <w:sz w:val="28"/>
          <w:szCs w:val="28"/>
          <w:highlight w:val="none"/>
          <w:lang w:val="en-US" w:eastAsia="zh-CN" w:bidi="ar-SA"/>
        </w:rPr>
        <w:instrText xml:space="preserve"> HYPERLINK "https://……）" </w:instrText>
      </w:r>
      <w:r>
        <w:rPr>
          <w:rFonts w:hint="eastAsia" w:ascii="仿宋" w:hAnsi="仿宋" w:eastAsia="仿宋" w:cs="仿宋"/>
          <w:color w:val="000000"/>
          <w:kern w:val="2"/>
          <w:position w:val="5"/>
          <w:sz w:val="28"/>
          <w:szCs w:val="28"/>
          <w:highlight w:val="none"/>
          <w:lang w:val="en-US" w:eastAsia="zh-CN" w:bidi="ar-SA"/>
        </w:rPr>
        <w:fldChar w:fldCharType="separate"/>
      </w:r>
      <w:r>
        <w:rPr>
          <w:rFonts w:hint="eastAsia" w:ascii="仿宋" w:hAnsi="仿宋" w:eastAsia="仿宋" w:cs="仿宋"/>
          <w:color w:val="000000"/>
          <w:kern w:val="2"/>
          <w:position w:val="5"/>
          <w:sz w:val="28"/>
          <w:szCs w:val="28"/>
          <w:highlight w:val="none"/>
          <w:lang w:val="en-US" w:eastAsia="zh-CN" w:bidi="ar-SA"/>
        </w:rPr>
        <w:t>https://zbcg.mengniu.cn）</w:t>
      </w:r>
      <w:r>
        <w:rPr>
          <w:rFonts w:hint="eastAsia" w:ascii="仿宋" w:hAnsi="仿宋" w:eastAsia="仿宋" w:cs="仿宋"/>
          <w:color w:val="000000"/>
          <w:kern w:val="2"/>
          <w:position w:val="5"/>
          <w:sz w:val="28"/>
          <w:szCs w:val="28"/>
          <w:highlight w:val="none"/>
          <w:lang w:val="en-US" w:eastAsia="zh-CN" w:bidi="ar-SA"/>
        </w:rPr>
        <w:fldChar w:fldCharType="end"/>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蒙牛官网（http://www.mengniu.com.cn）</w:t>
      </w:r>
      <w:r>
        <w:rPr>
          <w:rFonts w:hint="eastAsia" w:ascii="仿宋" w:hAnsi="仿宋" w:eastAsia="仿宋" w:cs="仿宋"/>
          <w:color w:val="000000"/>
          <w:position w:val="5"/>
          <w:sz w:val="28"/>
          <w:szCs w:val="28"/>
          <w:highlight w:val="none"/>
          <w:lang w:val="en-US" w:eastAsia="zh-CN"/>
        </w:rPr>
        <w:t>及</w:t>
      </w:r>
      <w:r>
        <w:rPr>
          <w:rFonts w:hint="eastAsia" w:ascii="仿宋" w:hAnsi="仿宋" w:eastAsia="仿宋" w:cs="仿宋"/>
          <w:color w:val="000000"/>
          <w:position w:val="5"/>
          <w:sz w:val="28"/>
          <w:szCs w:val="28"/>
          <w:highlight w:val="none"/>
        </w:rPr>
        <w:t>内部OA平台</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此公告只在以上平台发布，其他任何媒体转载无效。</w:t>
      </w:r>
    </w:p>
    <w:p>
      <w:pPr>
        <w:adjustRightInd w:val="0"/>
        <w:snapToGrid w:val="0"/>
        <w:spacing w:line="360" w:lineRule="auto"/>
        <w:ind w:firstLine="562" w:firstLineChars="200"/>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lang w:eastAsia="zh-Hans"/>
        </w:rPr>
        <w:t>九、</w:t>
      </w:r>
      <w:r>
        <w:rPr>
          <w:rFonts w:hint="eastAsia" w:ascii="仿宋" w:hAnsi="仿宋" w:eastAsia="仿宋" w:cs="仿宋"/>
          <w:b/>
          <w:position w:val="5"/>
          <w:sz w:val="28"/>
          <w:szCs w:val="28"/>
          <w:highlight w:val="none"/>
        </w:rPr>
        <w:t>招标代理机构及联系方式：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招标代理机构：内蒙古华晟工程项目管理有限公司</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报名联系人：李彦峰（</w:t>
      </w:r>
      <w:r>
        <w:rPr>
          <w:rFonts w:hint="eastAsia" w:ascii="仿宋" w:hAnsi="仿宋" w:eastAsia="仿宋" w:cs="仿宋"/>
          <w:color w:val="000000"/>
          <w:position w:val="5"/>
          <w:sz w:val="28"/>
          <w:szCs w:val="28"/>
          <w:highlight w:val="none"/>
          <w:lang w:val="en-US" w:eastAsia="zh-CN"/>
        </w:rPr>
        <w:t>13204800293</w:t>
      </w:r>
      <w:r>
        <w:rPr>
          <w:rFonts w:hint="eastAsia" w:ascii="仿宋" w:hAnsi="仿宋" w:eastAsia="仿宋" w:cs="仿宋"/>
          <w:color w:val="000000"/>
          <w:position w:val="5"/>
          <w:sz w:val="28"/>
          <w:szCs w:val="28"/>
          <w:highlight w:val="none"/>
        </w:rPr>
        <w:t>）/周靖宇（13474803800）</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联系电话：0471-3957849/4918085-8013</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电子邮箱：liyanfeng@nmghuasheng.com</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联系地址：内蒙古自治区呼和浩特市赛罕区锡林南路盈嘉国际综合楼27层</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lang w:eastAsia="zh-Hans"/>
        </w:rPr>
        <w:t>十</w:t>
      </w:r>
      <w:r>
        <w:rPr>
          <w:rFonts w:hint="eastAsia" w:ascii="仿宋" w:hAnsi="仿宋" w:eastAsia="仿宋" w:cs="仿宋"/>
          <w:b/>
          <w:position w:val="5"/>
          <w:sz w:val="28"/>
          <w:szCs w:val="28"/>
          <w:highlight w:val="none"/>
        </w:rPr>
        <w:t>、采购招标实施方及联系方式：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招标单位：蒙牛乳制品清远有限责任公司</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业务咨询联系人：</w:t>
      </w:r>
      <w:r>
        <w:rPr>
          <w:rFonts w:hint="eastAsia" w:ascii="仿宋" w:hAnsi="仿宋" w:eastAsia="仿宋" w:cs="仿宋"/>
          <w:color w:val="000000"/>
          <w:position w:val="5"/>
          <w:sz w:val="28"/>
          <w:szCs w:val="28"/>
          <w:highlight w:val="none"/>
          <w:lang w:val="en-US" w:eastAsia="zh-CN"/>
        </w:rPr>
        <w:t>刘鑫贵</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联系方式：</w:t>
      </w:r>
      <w:r>
        <w:rPr>
          <w:rFonts w:hint="eastAsia" w:ascii="仿宋" w:hAnsi="仿宋" w:eastAsia="仿宋" w:cs="仿宋"/>
          <w:color w:val="000000"/>
          <w:position w:val="5"/>
          <w:sz w:val="28"/>
          <w:szCs w:val="28"/>
          <w:highlight w:val="none"/>
          <w:lang w:val="en-US" w:eastAsia="zh-CN"/>
        </w:rPr>
        <w:t>18539129922</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十</w:t>
      </w:r>
      <w:r>
        <w:rPr>
          <w:rFonts w:hint="eastAsia" w:ascii="仿宋" w:hAnsi="仿宋" w:eastAsia="仿宋" w:cs="仿宋"/>
          <w:b/>
          <w:position w:val="5"/>
          <w:sz w:val="28"/>
          <w:szCs w:val="28"/>
          <w:highlight w:val="none"/>
          <w:lang w:eastAsia="zh-Hans"/>
        </w:rPr>
        <w:t>一</w:t>
      </w:r>
      <w:r>
        <w:rPr>
          <w:rFonts w:hint="eastAsia" w:ascii="仿宋" w:hAnsi="仿宋" w:eastAsia="仿宋" w:cs="仿宋"/>
          <w:b/>
          <w:position w:val="5"/>
          <w:sz w:val="28"/>
          <w:szCs w:val="28"/>
          <w:highlight w:val="none"/>
        </w:rPr>
        <w:t>、监督单位及联系方式：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监督单位：内蒙古蒙牛乳业（集团）股份有限公司招投标管理部</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异议/投诉服务网址：</w:t>
      </w:r>
      <w:r>
        <w:rPr>
          <w:rFonts w:hint="eastAsia" w:ascii="仿宋" w:hAnsi="仿宋" w:eastAsia="仿宋" w:cs="仿宋"/>
          <w:color w:val="000000"/>
          <w:position w:val="5"/>
          <w:sz w:val="28"/>
          <w:szCs w:val="28"/>
          <w:highlight w:val="none"/>
        </w:rPr>
        <w:fldChar w:fldCharType="begin"/>
      </w:r>
      <w:r>
        <w:rPr>
          <w:rFonts w:hint="eastAsia" w:ascii="仿宋" w:hAnsi="仿宋" w:eastAsia="仿宋" w:cs="仿宋"/>
          <w:color w:val="000000"/>
          <w:position w:val="5"/>
          <w:sz w:val="28"/>
          <w:szCs w:val="28"/>
          <w:highlight w:val="none"/>
        </w:rPr>
        <w:instrText xml:space="preserve"> HYPERLINK "https://zbcg.mengniu.cn/" \l "/home" \t "_blank" </w:instrText>
      </w:r>
      <w:r>
        <w:rPr>
          <w:rFonts w:hint="eastAsia" w:ascii="仿宋" w:hAnsi="仿宋" w:eastAsia="仿宋" w:cs="仿宋"/>
          <w:color w:val="000000"/>
          <w:position w:val="5"/>
          <w:sz w:val="28"/>
          <w:szCs w:val="28"/>
          <w:highlight w:val="none"/>
        </w:rPr>
        <w:fldChar w:fldCharType="separate"/>
      </w:r>
      <w:r>
        <w:rPr>
          <w:rFonts w:hint="eastAsia" w:ascii="仿宋" w:hAnsi="仿宋" w:eastAsia="仿宋" w:cs="仿宋"/>
          <w:color w:val="000000"/>
          <w:position w:val="5"/>
          <w:sz w:val="28"/>
          <w:szCs w:val="28"/>
          <w:highlight w:val="none"/>
        </w:rPr>
        <w:t>https://zbcg.mengniu.cn/#/home</w:t>
      </w:r>
      <w:r>
        <w:rPr>
          <w:rFonts w:hint="eastAsia" w:ascii="仿宋" w:hAnsi="仿宋" w:eastAsia="仿宋" w:cs="仿宋"/>
          <w:color w:val="000000"/>
          <w:position w:val="5"/>
          <w:sz w:val="28"/>
          <w:szCs w:val="28"/>
          <w:highlight w:val="none"/>
        </w:rPr>
        <w:fldChar w:fldCharType="end"/>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监 督 人：</w:t>
      </w:r>
      <w:r>
        <w:rPr>
          <w:rFonts w:hint="eastAsia" w:ascii="仿宋" w:hAnsi="仿宋" w:eastAsia="仿宋" w:cs="仿宋"/>
          <w:color w:val="000000"/>
          <w:position w:val="5"/>
          <w:sz w:val="28"/>
          <w:szCs w:val="28"/>
          <w:highlight w:val="none"/>
          <w:lang w:val="en-US" w:eastAsia="zh-CN"/>
        </w:rPr>
        <w:t>潘宏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电子邮件：</w:t>
      </w:r>
      <w:r>
        <w:rPr>
          <w:rFonts w:hint="eastAsia" w:ascii="仿宋" w:hAnsi="仿宋" w:eastAsia="仿宋" w:cs="仿宋"/>
          <w:color w:val="000000"/>
          <w:position w:val="5"/>
          <w:sz w:val="28"/>
          <w:szCs w:val="28"/>
          <w:highlight w:val="none"/>
          <w:lang w:val="en-US" w:eastAsia="zh-CN"/>
        </w:rPr>
        <w:t>panhong</w:t>
      </w:r>
      <w:r>
        <w:rPr>
          <w:rFonts w:hint="eastAsia" w:ascii="仿宋" w:hAnsi="仿宋" w:eastAsia="仿宋" w:cs="仿宋"/>
          <w:color w:val="000000"/>
          <w:position w:val="5"/>
          <w:sz w:val="28"/>
          <w:szCs w:val="28"/>
          <w:highlight w:val="none"/>
        </w:rPr>
        <w:t>@mengniu.cn</w:t>
      </w:r>
    </w:p>
    <w:p>
      <w:pPr>
        <w:shd w:val="clear" w:color="auto" w:fill="FFFFFF"/>
        <w:snapToGrid w:val="0"/>
        <w:spacing w:line="360" w:lineRule="auto"/>
        <w:jc w:val="left"/>
        <w:rPr>
          <w:rFonts w:hint="eastAsia" w:ascii="仿宋" w:hAnsi="仿宋" w:eastAsia="仿宋" w:cs="仿宋"/>
          <w:color w:val="000000"/>
          <w:position w:val="5"/>
          <w:sz w:val="28"/>
          <w:szCs w:val="28"/>
          <w:highlight w:val="none"/>
        </w:rPr>
      </w:pPr>
    </w:p>
    <w:p>
      <w:pPr>
        <w:pStyle w:val="2"/>
        <w:spacing w:line="360" w:lineRule="auto"/>
        <w:rPr>
          <w:rFonts w:hint="eastAsia" w:ascii="仿宋" w:hAnsi="仿宋" w:eastAsia="仿宋" w:cs="仿宋"/>
          <w:sz w:val="28"/>
          <w:szCs w:val="28"/>
        </w:rPr>
      </w:pPr>
    </w:p>
    <w:p>
      <w:pPr>
        <w:pStyle w:val="2"/>
        <w:spacing w:line="360" w:lineRule="auto"/>
        <w:rPr>
          <w:rFonts w:hint="eastAsia" w:ascii="仿宋" w:hAnsi="仿宋" w:eastAsia="仿宋" w:cs="仿宋"/>
          <w:sz w:val="28"/>
          <w:szCs w:val="28"/>
          <w:highlight w:val="none"/>
        </w:rPr>
      </w:pPr>
    </w:p>
    <w:p>
      <w:pPr>
        <w:shd w:val="clear" w:color="auto" w:fill="FFFFFF"/>
        <w:snapToGrid w:val="0"/>
        <w:spacing w:line="360" w:lineRule="auto"/>
        <w:ind w:firstLine="560" w:firstLineChars="200"/>
        <w:jc w:val="left"/>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附件：1.潜在竞谈单位所报标段信息表</w:t>
      </w:r>
    </w:p>
    <w:p>
      <w:pPr>
        <w:spacing w:line="360" w:lineRule="auto"/>
        <w:ind w:left="14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2.保密承诺书</w:t>
      </w:r>
    </w:p>
    <w:p>
      <w:pPr>
        <w:adjustRightInd w:val="0"/>
        <w:snapToGrid w:val="0"/>
        <w:spacing w:line="360" w:lineRule="auto"/>
        <w:rPr>
          <w:rFonts w:hint="eastAsia" w:ascii="仿宋" w:hAnsi="仿宋" w:eastAsia="仿宋" w:cs="仿宋"/>
          <w:position w:val="5"/>
          <w:sz w:val="28"/>
          <w:szCs w:val="28"/>
          <w:highlight w:val="none"/>
        </w:rPr>
      </w:pPr>
    </w:p>
    <w:p>
      <w:pPr>
        <w:spacing w:line="360" w:lineRule="auto"/>
        <w:ind w:right="640" w:firstLine="565" w:firstLineChars="202"/>
        <w:jc w:val="righ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蒙牛乳制品清远有限责任公司</w:t>
      </w:r>
    </w:p>
    <w:p>
      <w:pPr>
        <w:spacing w:line="360" w:lineRule="auto"/>
        <w:ind w:right="640" w:firstLine="565" w:firstLineChars="202"/>
        <w:jc w:val="right"/>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rPr>
        <w:t>内蒙古华晟工程项目管理有限公司</w:t>
      </w:r>
    </w:p>
    <w:p>
      <w:pPr>
        <w:spacing w:line="360" w:lineRule="auto"/>
        <w:ind w:right="640" w:firstLine="565" w:firstLineChars="202"/>
        <w:jc w:val="right"/>
        <w:rPr>
          <w:rFonts w:hint="eastAsia" w:ascii="仿宋" w:hAnsi="仿宋" w:eastAsia="仿宋" w:cs="仿宋"/>
          <w:sz w:val="28"/>
          <w:szCs w:val="28"/>
          <w:highlight w:val="none"/>
        </w:rPr>
      </w:pPr>
      <w:r>
        <w:rPr>
          <w:rFonts w:hint="eastAsia" w:ascii="仿宋" w:hAnsi="仿宋" w:eastAsia="仿宋" w:cs="仿宋"/>
          <w:position w:val="5"/>
          <w:sz w:val="28"/>
          <w:szCs w:val="28"/>
          <w:highlight w:val="none"/>
        </w:rPr>
        <w:t>2023年</w:t>
      </w:r>
      <w:r>
        <w:rPr>
          <w:rFonts w:hint="eastAsia" w:ascii="仿宋" w:hAnsi="仿宋" w:eastAsia="仿宋" w:cs="仿宋"/>
          <w:position w:val="5"/>
          <w:sz w:val="28"/>
          <w:szCs w:val="28"/>
          <w:highlight w:val="non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lang w:val="en-US" w:eastAsia="zh-CN"/>
        </w:rPr>
        <w:t>12</w:t>
      </w:r>
      <w:r>
        <w:rPr>
          <w:rFonts w:hint="eastAsia" w:ascii="仿宋" w:hAnsi="仿宋" w:eastAsia="仿宋" w:cs="仿宋"/>
          <w:position w:val="5"/>
          <w:sz w:val="28"/>
          <w:szCs w:val="28"/>
          <w:highlight w:val="none"/>
        </w:rPr>
        <w:t>日</w:t>
      </w:r>
    </w:p>
    <w:p>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bookmarkStart w:id="1" w:name="_GoBack"/>
      <w:bookmarkEnd w:id="1"/>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潜在竞谈单位报名信息表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序号</w:t>
            </w:r>
          </w:p>
        </w:tc>
        <w:tc>
          <w:tcPr>
            <w:tcW w:w="2399"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潜在竞谈单位名称</w:t>
            </w:r>
          </w:p>
        </w:tc>
        <w:tc>
          <w:tcPr>
            <w:tcW w:w="1630"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标段</w:t>
            </w:r>
          </w:p>
        </w:tc>
        <w:tc>
          <w:tcPr>
            <w:tcW w:w="1538"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联系人</w:t>
            </w:r>
          </w:p>
        </w:tc>
        <w:tc>
          <w:tcPr>
            <w:tcW w:w="1713"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联系电话</w:t>
            </w:r>
          </w:p>
        </w:tc>
        <w:tc>
          <w:tcPr>
            <w:tcW w:w="1856"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bl>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13"/>
        <w:spacing w:after="0" w:line="360" w:lineRule="auto"/>
        <w:ind w:left="0" w:leftChars="0" w:firstLine="0" w:firstLineChars="0"/>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无菌压缩空气系统升级-安装采招项目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0"/>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0"/>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5"/>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5"/>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4"/>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4"/>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4"/>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4"/>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4"/>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4"/>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4"/>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spacing w:line="360" w:lineRule="auto"/>
        <w:rPr>
          <w:rFonts w:hint="eastAsia" w:ascii="仿宋" w:hAnsi="仿宋" w:eastAsia="仿宋" w:cs="仿宋"/>
          <w:position w:val="5"/>
          <w:sz w:val="28"/>
          <w:szCs w:val="28"/>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6BE4"/>
    <w:multiLevelType w:val="singleLevel"/>
    <w:tmpl w:val="FFFE6B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 w:name="KSO_WPS_MARK_KEY" w:val="4417f56f-ed2a-4b66-ad8e-82289794e4cd"/>
  </w:docVars>
  <w:rsids>
    <w:rsidRoot w:val="00222DA1"/>
    <w:rsid w:val="00035CA0"/>
    <w:rsid w:val="00040744"/>
    <w:rsid w:val="00053BB9"/>
    <w:rsid w:val="00080551"/>
    <w:rsid w:val="000814A0"/>
    <w:rsid w:val="000F2E0F"/>
    <w:rsid w:val="00124629"/>
    <w:rsid w:val="00146358"/>
    <w:rsid w:val="00193ADD"/>
    <w:rsid w:val="001A03FA"/>
    <w:rsid w:val="001A48F7"/>
    <w:rsid w:val="001B0DD4"/>
    <w:rsid w:val="001C386F"/>
    <w:rsid w:val="001F00E8"/>
    <w:rsid w:val="002224F6"/>
    <w:rsid w:val="00222DA1"/>
    <w:rsid w:val="00224EE3"/>
    <w:rsid w:val="00230DD0"/>
    <w:rsid w:val="00262594"/>
    <w:rsid w:val="002733AA"/>
    <w:rsid w:val="002C32F1"/>
    <w:rsid w:val="002C35BD"/>
    <w:rsid w:val="002C68EC"/>
    <w:rsid w:val="002D45CB"/>
    <w:rsid w:val="003078E2"/>
    <w:rsid w:val="00343CA2"/>
    <w:rsid w:val="00350D65"/>
    <w:rsid w:val="00381361"/>
    <w:rsid w:val="003E2B80"/>
    <w:rsid w:val="003F1837"/>
    <w:rsid w:val="00433476"/>
    <w:rsid w:val="00434050"/>
    <w:rsid w:val="00444051"/>
    <w:rsid w:val="004D3ABF"/>
    <w:rsid w:val="00504FC2"/>
    <w:rsid w:val="00525508"/>
    <w:rsid w:val="005258FA"/>
    <w:rsid w:val="0053291C"/>
    <w:rsid w:val="00537D61"/>
    <w:rsid w:val="0055156D"/>
    <w:rsid w:val="00576B04"/>
    <w:rsid w:val="005829BD"/>
    <w:rsid w:val="00582DCB"/>
    <w:rsid w:val="00590CB8"/>
    <w:rsid w:val="005A01C3"/>
    <w:rsid w:val="005C06DB"/>
    <w:rsid w:val="005F72C7"/>
    <w:rsid w:val="0061759D"/>
    <w:rsid w:val="006722FA"/>
    <w:rsid w:val="0069336F"/>
    <w:rsid w:val="006B212B"/>
    <w:rsid w:val="006B493B"/>
    <w:rsid w:val="006D3A56"/>
    <w:rsid w:val="006E0EB4"/>
    <w:rsid w:val="0071652C"/>
    <w:rsid w:val="0077309A"/>
    <w:rsid w:val="00776C95"/>
    <w:rsid w:val="00795FD5"/>
    <w:rsid w:val="007B21F9"/>
    <w:rsid w:val="007E0DCF"/>
    <w:rsid w:val="007F46E7"/>
    <w:rsid w:val="0083035A"/>
    <w:rsid w:val="008368EF"/>
    <w:rsid w:val="00895AEC"/>
    <w:rsid w:val="008D5360"/>
    <w:rsid w:val="0093586A"/>
    <w:rsid w:val="00964DED"/>
    <w:rsid w:val="0098478F"/>
    <w:rsid w:val="009B29A3"/>
    <w:rsid w:val="00A11212"/>
    <w:rsid w:val="00A13E06"/>
    <w:rsid w:val="00A14039"/>
    <w:rsid w:val="00AA46FF"/>
    <w:rsid w:val="00AE2811"/>
    <w:rsid w:val="00AF173D"/>
    <w:rsid w:val="00AF23AE"/>
    <w:rsid w:val="00AF4203"/>
    <w:rsid w:val="00B036A4"/>
    <w:rsid w:val="00B62398"/>
    <w:rsid w:val="00B765BA"/>
    <w:rsid w:val="00BA2172"/>
    <w:rsid w:val="00BC4F37"/>
    <w:rsid w:val="00BD5E29"/>
    <w:rsid w:val="00BF167B"/>
    <w:rsid w:val="00C731D6"/>
    <w:rsid w:val="00C74CAA"/>
    <w:rsid w:val="00C7598F"/>
    <w:rsid w:val="00CB03B6"/>
    <w:rsid w:val="00CC23B1"/>
    <w:rsid w:val="00CC3D95"/>
    <w:rsid w:val="00CD2455"/>
    <w:rsid w:val="00D059C8"/>
    <w:rsid w:val="00D34260"/>
    <w:rsid w:val="00D61436"/>
    <w:rsid w:val="00D830DF"/>
    <w:rsid w:val="00DB31B5"/>
    <w:rsid w:val="00E14B98"/>
    <w:rsid w:val="00E357F6"/>
    <w:rsid w:val="00E63505"/>
    <w:rsid w:val="00E8505F"/>
    <w:rsid w:val="00ED18C7"/>
    <w:rsid w:val="00EF0E25"/>
    <w:rsid w:val="00F428E1"/>
    <w:rsid w:val="00F67557"/>
    <w:rsid w:val="00F74DD0"/>
    <w:rsid w:val="00F95612"/>
    <w:rsid w:val="014B4556"/>
    <w:rsid w:val="01727E43"/>
    <w:rsid w:val="031A6F10"/>
    <w:rsid w:val="07647CFC"/>
    <w:rsid w:val="07982FF5"/>
    <w:rsid w:val="087E6D41"/>
    <w:rsid w:val="08EB0472"/>
    <w:rsid w:val="0947655F"/>
    <w:rsid w:val="09AB4C3A"/>
    <w:rsid w:val="0A1D59C5"/>
    <w:rsid w:val="0C8C3F9B"/>
    <w:rsid w:val="0DFE726B"/>
    <w:rsid w:val="0E2B56AF"/>
    <w:rsid w:val="0E6C78AF"/>
    <w:rsid w:val="0F4731B5"/>
    <w:rsid w:val="0F8B2F3A"/>
    <w:rsid w:val="101B09A4"/>
    <w:rsid w:val="10DB142F"/>
    <w:rsid w:val="11C03C35"/>
    <w:rsid w:val="13EA71F5"/>
    <w:rsid w:val="149A58AF"/>
    <w:rsid w:val="179C4942"/>
    <w:rsid w:val="19F64E7C"/>
    <w:rsid w:val="1DB09559"/>
    <w:rsid w:val="1DE4386F"/>
    <w:rsid w:val="1F390D20"/>
    <w:rsid w:val="1FEC4C0E"/>
    <w:rsid w:val="1FFB9FF7"/>
    <w:rsid w:val="214974ED"/>
    <w:rsid w:val="21F96AA0"/>
    <w:rsid w:val="2305495A"/>
    <w:rsid w:val="23E72545"/>
    <w:rsid w:val="25C95059"/>
    <w:rsid w:val="27944A0F"/>
    <w:rsid w:val="288333CB"/>
    <w:rsid w:val="29CB25E0"/>
    <w:rsid w:val="2A5333CA"/>
    <w:rsid w:val="2D386F74"/>
    <w:rsid w:val="2FF0749A"/>
    <w:rsid w:val="339A5C14"/>
    <w:rsid w:val="343D21A6"/>
    <w:rsid w:val="34832861"/>
    <w:rsid w:val="35DF5681"/>
    <w:rsid w:val="35E14BA8"/>
    <w:rsid w:val="37FF81C2"/>
    <w:rsid w:val="395FF41F"/>
    <w:rsid w:val="3BF3EF79"/>
    <w:rsid w:val="3DFC11F4"/>
    <w:rsid w:val="3E174005"/>
    <w:rsid w:val="3E3B53CF"/>
    <w:rsid w:val="3E7DEB41"/>
    <w:rsid w:val="3EC1513C"/>
    <w:rsid w:val="3EF05A48"/>
    <w:rsid w:val="3EFBB676"/>
    <w:rsid w:val="3EFD261F"/>
    <w:rsid w:val="3FF70901"/>
    <w:rsid w:val="3FFF1215"/>
    <w:rsid w:val="3FFF9947"/>
    <w:rsid w:val="40643107"/>
    <w:rsid w:val="419261BB"/>
    <w:rsid w:val="41B25855"/>
    <w:rsid w:val="435A0517"/>
    <w:rsid w:val="44FD3FB4"/>
    <w:rsid w:val="4522219F"/>
    <w:rsid w:val="4A7A1233"/>
    <w:rsid w:val="4A8E58A7"/>
    <w:rsid w:val="4AD805EB"/>
    <w:rsid w:val="4B17770D"/>
    <w:rsid w:val="4BFB75F4"/>
    <w:rsid w:val="4D57DFBF"/>
    <w:rsid w:val="4DA57D46"/>
    <w:rsid w:val="4E578E87"/>
    <w:rsid w:val="4E737743"/>
    <w:rsid w:val="53F3B3A5"/>
    <w:rsid w:val="55F715C1"/>
    <w:rsid w:val="57D53304"/>
    <w:rsid w:val="58B16746"/>
    <w:rsid w:val="5A5180F1"/>
    <w:rsid w:val="5B60C7FB"/>
    <w:rsid w:val="5B6F2EFE"/>
    <w:rsid w:val="5D7D4935"/>
    <w:rsid w:val="5FAD37A1"/>
    <w:rsid w:val="5FD4A69F"/>
    <w:rsid w:val="5FD8136D"/>
    <w:rsid w:val="61267DD0"/>
    <w:rsid w:val="630E4B89"/>
    <w:rsid w:val="64930FF0"/>
    <w:rsid w:val="65DBDCE8"/>
    <w:rsid w:val="66A01A3E"/>
    <w:rsid w:val="66EB976C"/>
    <w:rsid w:val="66EBB4FD"/>
    <w:rsid w:val="677F6759"/>
    <w:rsid w:val="69616CE5"/>
    <w:rsid w:val="6A05798A"/>
    <w:rsid w:val="6A2374F5"/>
    <w:rsid w:val="6ADB5328"/>
    <w:rsid w:val="6BBB4781"/>
    <w:rsid w:val="6CDD5EC6"/>
    <w:rsid w:val="6E671577"/>
    <w:rsid w:val="6E6F829C"/>
    <w:rsid w:val="6E9FEBAC"/>
    <w:rsid w:val="6ED31CC6"/>
    <w:rsid w:val="6F37F4DA"/>
    <w:rsid w:val="6F840761"/>
    <w:rsid w:val="6FAF61CA"/>
    <w:rsid w:val="6FF46194"/>
    <w:rsid w:val="6FFEF997"/>
    <w:rsid w:val="703B725D"/>
    <w:rsid w:val="70A116E1"/>
    <w:rsid w:val="73BF625E"/>
    <w:rsid w:val="750D0927"/>
    <w:rsid w:val="75291805"/>
    <w:rsid w:val="75A9B598"/>
    <w:rsid w:val="75FCEE55"/>
    <w:rsid w:val="7656F104"/>
    <w:rsid w:val="7657AD11"/>
    <w:rsid w:val="77770782"/>
    <w:rsid w:val="77A11DFC"/>
    <w:rsid w:val="77EC108B"/>
    <w:rsid w:val="77F76083"/>
    <w:rsid w:val="79A773CC"/>
    <w:rsid w:val="79DF2801"/>
    <w:rsid w:val="7A5B7BD3"/>
    <w:rsid w:val="7B1F6F2E"/>
    <w:rsid w:val="7BBF3AE0"/>
    <w:rsid w:val="7BDA0722"/>
    <w:rsid w:val="7D9F6F36"/>
    <w:rsid w:val="7DBBD932"/>
    <w:rsid w:val="7E2A3603"/>
    <w:rsid w:val="7ED71C7D"/>
    <w:rsid w:val="7EDD8841"/>
    <w:rsid w:val="7EEEB208"/>
    <w:rsid w:val="7FAFF41E"/>
    <w:rsid w:val="7FB8E207"/>
    <w:rsid w:val="7FDBC6D3"/>
    <w:rsid w:val="7FDF4DB3"/>
    <w:rsid w:val="7FFF5C5F"/>
    <w:rsid w:val="7FFFB0B5"/>
    <w:rsid w:val="7FFFDF59"/>
    <w:rsid w:val="9B2E1BDE"/>
    <w:rsid w:val="9E9B6F56"/>
    <w:rsid w:val="9FFF688F"/>
    <w:rsid w:val="ABFAD332"/>
    <w:rsid w:val="B2AF724B"/>
    <w:rsid w:val="B5EF738B"/>
    <w:rsid w:val="BEEEE3C9"/>
    <w:rsid w:val="BF7BF5D2"/>
    <w:rsid w:val="BFCF8FA5"/>
    <w:rsid w:val="CF49DD35"/>
    <w:rsid w:val="CFBF6B61"/>
    <w:rsid w:val="D6BBD9B0"/>
    <w:rsid w:val="D7F294B4"/>
    <w:rsid w:val="D957DBC6"/>
    <w:rsid w:val="D95F9F8B"/>
    <w:rsid w:val="D9F7C5B4"/>
    <w:rsid w:val="DBCF3344"/>
    <w:rsid w:val="DBF98A41"/>
    <w:rsid w:val="DCF8273C"/>
    <w:rsid w:val="DEFF620F"/>
    <w:rsid w:val="DF7FF7BD"/>
    <w:rsid w:val="DFDD364C"/>
    <w:rsid w:val="DFE5D93F"/>
    <w:rsid w:val="E37B046C"/>
    <w:rsid w:val="E50AFD64"/>
    <w:rsid w:val="E56698DC"/>
    <w:rsid w:val="E6F33CFB"/>
    <w:rsid w:val="E7F13F21"/>
    <w:rsid w:val="E9DF2471"/>
    <w:rsid w:val="E9FF5B1D"/>
    <w:rsid w:val="EBD5C7FD"/>
    <w:rsid w:val="EC9E091D"/>
    <w:rsid w:val="EEBB5E5B"/>
    <w:rsid w:val="EF2E1BE1"/>
    <w:rsid w:val="F2FDA901"/>
    <w:rsid w:val="F4E9BB11"/>
    <w:rsid w:val="F5CE170B"/>
    <w:rsid w:val="F6EE2781"/>
    <w:rsid w:val="F6F741C0"/>
    <w:rsid w:val="F6FACF5B"/>
    <w:rsid w:val="F7179FB0"/>
    <w:rsid w:val="F7EB28B1"/>
    <w:rsid w:val="F7F00B8F"/>
    <w:rsid w:val="F8A78289"/>
    <w:rsid w:val="F9FBEC70"/>
    <w:rsid w:val="FAD0B18A"/>
    <w:rsid w:val="FBD633D5"/>
    <w:rsid w:val="FBF46241"/>
    <w:rsid w:val="FBF9BBC2"/>
    <w:rsid w:val="FC6BB7E4"/>
    <w:rsid w:val="FCF634CA"/>
    <w:rsid w:val="FD59885A"/>
    <w:rsid w:val="FD5FDE1E"/>
    <w:rsid w:val="FDBA11AE"/>
    <w:rsid w:val="FDF5A09A"/>
    <w:rsid w:val="FDFC2B90"/>
    <w:rsid w:val="FE3A449A"/>
    <w:rsid w:val="FED9BC07"/>
    <w:rsid w:val="FF7306A3"/>
    <w:rsid w:val="FF7F48BD"/>
    <w:rsid w:val="FFDEB2FC"/>
    <w:rsid w:val="FFDFF0E2"/>
    <w:rsid w:val="FFFFC2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2"/>
    <w:unhideWhenUsed/>
    <w:qFormat/>
    <w:uiPriority w:val="99"/>
    <w:pPr>
      <w:jc w:val="left"/>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Calibri" w:hAnsi="Calibri"/>
    </w:rPr>
  </w:style>
  <w:style w:type="paragraph" w:styleId="6">
    <w:name w:val="Block Text"/>
    <w:basedOn w:val="1"/>
    <w:qFormat/>
    <w:uiPriority w:val="0"/>
    <w:pPr>
      <w:spacing w:line="300" w:lineRule="exact"/>
      <w:ind w:left="360" w:right="24"/>
    </w:pPr>
    <w:rPr>
      <w:rFonts w:cs="Arial"/>
      <w:szCs w:val="24"/>
    </w:rPr>
  </w:style>
  <w:style w:type="paragraph" w:styleId="7">
    <w:name w:val="Balloon Text"/>
    <w:basedOn w:val="1"/>
    <w:link w:val="21"/>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3"/>
    <w:next w:val="3"/>
    <w:link w:val="23"/>
    <w:unhideWhenUsed/>
    <w:qFormat/>
    <w:uiPriority w:val="99"/>
    <w:rPr>
      <w:b/>
      <w:bCs/>
    </w:rPr>
  </w:style>
  <w:style w:type="paragraph" w:styleId="13">
    <w:name w:val="Body Text First Indent 2"/>
    <w:basedOn w:val="5"/>
    <w:qFormat/>
    <w:uiPriority w:val="0"/>
    <w:pPr>
      <w:ind w:firstLine="420" w:firstLineChars="200"/>
    </w:pPr>
    <w:rPr>
      <w:rFonts w:ascii="Times New Roman"/>
    </w:rPr>
  </w:style>
  <w:style w:type="character" w:styleId="16">
    <w:name w:val="Strong"/>
    <w:basedOn w:val="15"/>
    <w:qFormat/>
    <w:uiPriority w:val="22"/>
    <w:rPr>
      <w:b/>
    </w:rPr>
  </w:style>
  <w:style w:type="character" w:styleId="17">
    <w:name w:val="Hyperlink"/>
    <w:qFormat/>
    <w:uiPriority w:val="0"/>
    <w:rPr>
      <w:color w:val="0000FF"/>
      <w:u w:val="none"/>
    </w:rPr>
  </w:style>
  <w:style w:type="character" w:styleId="18">
    <w:name w:val="annotation reference"/>
    <w:basedOn w:val="15"/>
    <w:unhideWhenUsed/>
    <w:qFormat/>
    <w:uiPriority w:val="99"/>
    <w:rPr>
      <w:sz w:val="21"/>
      <w:szCs w:val="21"/>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批注框文本 字符"/>
    <w:basedOn w:val="15"/>
    <w:link w:val="7"/>
    <w:semiHidden/>
    <w:qFormat/>
    <w:uiPriority w:val="99"/>
    <w:rPr>
      <w:rFonts w:ascii="Times New Roman" w:hAnsi="Times New Roman" w:eastAsia="宋体" w:cs="Times New Roman"/>
      <w:kern w:val="2"/>
      <w:sz w:val="18"/>
      <w:szCs w:val="18"/>
    </w:rPr>
  </w:style>
  <w:style w:type="character" w:customStyle="1" w:styleId="22">
    <w:name w:val="批注文字 字符"/>
    <w:basedOn w:val="15"/>
    <w:link w:val="3"/>
    <w:semiHidden/>
    <w:qFormat/>
    <w:uiPriority w:val="99"/>
    <w:rPr>
      <w:rFonts w:ascii="Times New Roman" w:hAnsi="Times New Roman" w:eastAsia="宋体" w:cs="Times New Roman"/>
      <w:kern w:val="2"/>
      <w:sz w:val="21"/>
      <w:szCs w:val="24"/>
    </w:rPr>
  </w:style>
  <w:style w:type="character" w:customStyle="1" w:styleId="23">
    <w:name w:val="批注主题 字符"/>
    <w:basedOn w:val="22"/>
    <w:link w:val="12"/>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5446</Words>
  <Characters>5844</Characters>
  <Lines>1</Lines>
  <Paragraphs>1</Paragraphs>
  <TotalTime>6</TotalTime>
  <ScaleCrop>false</ScaleCrop>
  <LinksUpToDate>false</LinksUpToDate>
  <CharactersWithSpaces>6068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2018-04-22T10:08:00Z</dcterms:created>
  <dc:creator>0002219</dc:creator>
  <cp:lastModifiedBy>蔡红霞</cp:lastModifiedBy>
  <dcterms:modified xsi:type="dcterms:W3CDTF">2023-06-12T01:18:20Z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861A96BEB4CF413480EFC21428DD2955</vt:lpwstr>
  </property>
</Properties>
</file>