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蒙牛</w:t>
      </w:r>
      <w:r>
        <w:rPr>
          <w:rFonts w:hint="eastAsia" w:ascii="仿宋" w:hAnsi="仿宋" w:eastAsia="仿宋" w:cs="仿宋"/>
          <w:b/>
          <w:bCs/>
          <w:kern w:val="0"/>
          <w:position w:val="5"/>
          <w:sz w:val="36"/>
          <w:szCs w:val="36"/>
          <w:highlight w:val="none"/>
          <w:lang w:val="en-US" w:eastAsia="zh-CN"/>
        </w:rPr>
        <w:t>乳制品</w:t>
      </w:r>
      <w:r>
        <w:rPr>
          <w:rFonts w:hint="eastAsia" w:ascii="仿宋" w:hAnsi="仿宋" w:eastAsia="仿宋" w:cs="仿宋"/>
          <w:b/>
          <w:bCs/>
          <w:kern w:val="0"/>
          <w:position w:val="5"/>
          <w:sz w:val="36"/>
          <w:szCs w:val="36"/>
          <w:highlight w:val="none"/>
        </w:rPr>
        <w:t>冰品清远工厂码垛区域安全防护改善项目</w:t>
      </w:r>
    </w:p>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竞争性谈判信息</w:t>
      </w:r>
      <w:r>
        <w:rPr>
          <w:rFonts w:hint="eastAsia" w:ascii="仿宋" w:hAnsi="仿宋" w:eastAsia="仿宋" w:cs="仿宋"/>
          <w:b/>
          <w:bCs/>
          <w:kern w:val="0"/>
          <w:position w:val="5"/>
          <w:sz w:val="36"/>
          <w:szCs w:val="36"/>
          <w:highlight w:val="none"/>
          <w:lang w:val="en-US" w:eastAsia="zh-CN"/>
        </w:rPr>
        <w:t>二次</w:t>
      </w:r>
      <w:r>
        <w:rPr>
          <w:rFonts w:hint="eastAsia" w:ascii="仿宋" w:hAnsi="仿宋" w:eastAsia="仿宋" w:cs="仿宋"/>
          <w:b/>
          <w:bCs/>
          <w:kern w:val="0"/>
          <w:position w:val="5"/>
          <w:sz w:val="36"/>
          <w:szCs w:val="36"/>
          <w:highlight w:val="none"/>
        </w:rPr>
        <w:t>公告</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内蒙古华晟工程项目管理有限公司受蒙牛乳制品清远有限责任公司委托，</w:t>
      </w:r>
      <w:r>
        <w:rPr>
          <w:rFonts w:hint="eastAsia" w:ascii="仿宋" w:hAnsi="仿宋" w:eastAsia="仿宋" w:cs="仿宋"/>
          <w:position w:val="5"/>
          <w:sz w:val="28"/>
          <w:szCs w:val="28"/>
          <w:highlight w:val="none"/>
          <w:lang w:eastAsia="zh-Hans"/>
        </w:rPr>
        <w:t>就</w:t>
      </w:r>
      <w:r>
        <w:rPr>
          <w:rFonts w:hint="eastAsia" w:ascii="仿宋" w:hAnsi="仿宋" w:eastAsia="仿宋" w:cs="仿宋"/>
          <w:position w:val="5"/>
          <w:sz w:val="28"/>
          <w:szCs w:val="28"/>
          <w:highlight w:val="none"/>
          <w:lang w:val="en-US" w:eastAsia="zh-Hans"/>
        </w:rPr>
        <w:t>冰品清远工厂码垛区域安全防护改善项目</w:t>
      </w:r>
      <w:r>
        <w:rPr>
          <w:rFonts w:hint="eastAsia" w:ascii="仿宋" w:hAnsi="仿宋" w:eastAsia="仿宋" w:cs="仿宋"/>
          <w:position w:val="5"/>
          <w:sz w:val="28"/>
          <w:szCs w:val="28"/>
          <w:highlight w:val="none"/>
        </w:rPr>
        <w:t>进行竞争性</w:t>
      </w:r>
      <w:bookmarkStart w:id="0" w:name="_GoBack"/>
      <w:bookmarkEnd w:id="0"/>
      <w:r>
        <w:rPr>
          <w:rFonts w:hint="eastAsia" w:ascii="仿宋" w:hAnsi="仿宋" w:eastAsia="仿宋" w:cs="仿宋"/>
          <w:position w:val="5"/>
          <w:sz w:val="28"/>
          <w:szCs w:val="28"/>
          <w:highlight w:val="none"/>
        </w:rPr>
        <w:t>谈判</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欢迎符合资格条件的竞谈商参加。</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一、项目编号：</w:t>
      </w:r>
      <w:r>
        <w:rPr>
          <w:rFonts w:hint="eastAsia" w:ascii="仿宋" w:hAnsi="仿宋" w:eastAsia="仿宋" w:cs="仿宋"/>
          <w:position w:val="5"/>
          <w:sz w:val="28"/>
          <w:szCs w:val="28"/>
          <w:highlight w:val="none"/>
        </w:rPr>
        <w:t>MNCGJH-20230301-0017</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二、项目名称</w:t>
      </w:r>
      <w:r>
        <w:rPr>
          <w:rFonts w:hint="eastAsia" w:ascii="仿宋" w:hAnsi="仿宋" w:eastAsia="仿宋" w:cs="仿宋"/>
          <w:position w:val="5"/>
          <w:sz w:val="28"/>
          <w:szCs w:val="28"/>
          <w:highlight w:val="none"/>
        </w:rPr>
        <w:t>：冰品清远工厂码垛区域安全防护改善项目</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三、项目概况：</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textAlignment w:val="auto"/>
        <w:rPr>
          <w:rFonts w:hint="eastAsia"/>
        </w:rPr>
      </w:pPr>
      <w:r>
        <w:rPr>
          <w:rFonts w:hint="eastAsia" w:ascii="仿宋" w:hAnsi="仿宋" w:eastAsia="仿宋" w:cs="仿宋"/>
          <w:kern w:val="2"/>
          <w:position w:val="5"/>
          <w:sz w:val="28"/>
          <w:szCs w:val="28"/>
          <w:highlight w:val="none"/>
          <w:lang w:val="en-US" w:eastAsia="zh-CN" w:bidi="ar-SA"/>
        </w:rPr>
        <w:t>清远冰淇淋工厂码垛间始建于2012年，设计初期由于技术条件有限，虽具备护栏门禁防护、安全光栅、双锁互锁防护的基础功能，但无法防止工作人员从小车轨道区域误入机器人码垛区域，造成人身伤害的风险，存在一定的漏洞：项目通过对现有码垛运行系统进行减负优化，确保系统稳定快捷运行，同时新增一套码垛安全控制系统，增加人物识别系统、门机互锁系统、安全压力毯等多重无死角预防措施，规避码垛设备工作区域的安全隐患风险。</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四、</w:t>
      </w:r>
      <w:r>
        <w:rPr>
          <w:rFonts w:hint="eastAsia" w:ascii="仿宋" w:hAnsi="仿宋" w:eastAsia="仿宋" w:cs="仿宋"/>
          <w:b/>
          <w:position w:val="5"/>
          <w:sz w:val="28"/>
          <w:szCs w:val="28"/>
          <w:highlight w:val="none"/>
        </w:rPr>
        <w:t>资格要求：</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1、竞谈商必须是在中华人民共和国境内注册具有独立法人资格的企业单位，公司注册资金在</w:t>
      </w:r>
      <w:r>
        <w:rPr>
          <w:rFonts w:hint="eastAsia" w:ascii="仿宋" w:hAnsi="仿宋" w:eastAsia="仿宋" w:cs="仿宋"/>
          <w:color w:val="000000"/>
          <w:position w:val="5"/>
          <w:sz w:val="28"/>
          <w:szCs w:val="28"/>
          <w:highlight w:val="none"/>
          <w:lang w:val="en-US" w:eastAsia="zh-CN"/>
        </w:rPr>
        <w:t>100</w:t>
      </w:r>
      <w:r>
        <w:rPr>
          <w:rFonts w:hint="eastAsia" w:ascii="仿宋" w:hAnsi="仿宋" w:eastAsia="仿宋" w:cs="仿宋"/>
          <w:color w:val="000000"/>
          <w:position w:val="5"/>
          <w:sz w:val="28"/>
          <w:szCs w:val="28"/>
          <w:highlight w:val="none"/>
        </w:rPr>
        <w:t>万元人民币及以上（外币按注册时汇率计算），以企业营业执照为准；</w:t>
      </w:r>
    </w:p>
    <w:p>
      <w:pPr>
        <w:spacing w:line="360" w:lineRule="auto"/>
        <w:ind w:firstLine="565" w:firstLineChars="202"/>
        <w:rPr>
          <w:rFonts w:hint="eastAsia" w:ascii="仿宋" w:hAnsi="仿宋" w:eastAsia="仿宋" w:cs="仿宋"/>
          <w:sz w:val="28"/>
          <w:szCs w:val="28"/>
          <w:highlight w:val="none"/>
          <w:lang w:eastAsia="zh-Hans"/>
        </w:rPr>
      </w:pPr>
      <w:r>
        <w:rPr>
          <w:rFonts w:hint="eastAsia" w:ascii="仿宋" w:hAnsi="仿宋" w:eastAsia="仿宋" w:cs="仿宋"/>
          <w:color w:val="000000"/>
          <w:position w:val="5"/>
          <w:sz w:val="28"/>
          <w:szCs w:val="28"/>
          <w:highlight w:val="none"/>
        </w:rPr>
        <w:t>2</w:t>
      </w:r>
      <w:r>
        <w:rPr>
          <w:rFonts w:hint="eastAsia" w:ascii="仿宋" w:hAnsi="仿宋" w:eastAsia="仿宋" w:cs="仿宋"/>
          <w:color w:val="000000"/>
          <w:position w:val="5"/>
          <w:sz w:val="28"/>
          <w:szCs w:val="28"/>
          <w:highlight w:val="none"/>
          <w:lang w:eastAsia="zh-Hans"/>
        </w:rPr>
        <w:t>、</w:t>
      </w:r>
      <w:r>
        <w:rPr>
          <w:rFonts w:hint="eastAsia" w:ascii="仿宋" w:hAnsi="仿宋" w:eastAsia="仿宋" w:cs="仿宋"/>
          <w:color w:val="000000"/>
          <w:position w:val="5"/>
          <w:sz w:val="28"/>
          <w:szCs w:val="28"/>
          <w:highlight w:val="none"/>
          <w:lang w:val="en-US" w:eastAsia="zh-CN"/>
        </w:rPr>
        <w:t>竞谈人须具有销售和安装（以上两项需同时具备）能力的设备厂商或授权代理商；若是授权代理商，必须取得所投货物生产制造商出具的书面授权书；招标单位只接受生产厂家一份项目授权书；</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3、竞谈商近三年须具有良好的财务状况；</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4、竞谈商须具有2020</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两个及以上类似项目业绩（以合同为准）；</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5、竞谈商未被列入国家企业信用信息公示系统  （http://www.gsxt.gov.cn/index.html）严重违法失信企业名单；</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商参与竞谈；</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7、本次竞谈不接受多家单位联合报价，不允许分包或转包；</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8、本次竞谈不接受中粮及蒙牛供应商黑名单（以蒙牛集团采购执行管理部下发的黑名单为准）的企业参与竞争。</w:t>
      </w:r>
    </w:p>
    <w:p>
      <w:pPr>
        <w:spacing w:line="360" w:lineRule="auto"/>
        <w:ind w:firstLine="562" w:firstLineChars="200"/>
        <w:jc w:val="left"/>
        <w:rPr>
          <w:rFonts w:hint="eastAsia" w:ascii="仿宋" w:hAnsi="仿宋" w:eastAsia="仿宋" w:cs="仿宋"/>
          <w:b/>
          <w:i/>
          <w:color w:val="FF0000"/>
          <w:position w:val="5"/>
          <w:sz w:val="28"/>
          <w:szCs w:val="28"/>
          <w:highlight w:val="none"/>
        </w:rPr>
      </w:pPr>
      <w:r>
        <w:rPr>
          <w:rFonts w:hint="eastAsia" w:ascii="仿宋" w:hAnsi="仿宋" w:eastAsia="仿宋" w:cs="仿宋"/>
          <w:b/>
          <w:color w:val="000000"/>
          <w:position w:val="5"/>
          <w:sz w:val="28"/>
          <w:szCs w:val="28"/>
          <w:highlight w:val="none"/>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报名资格文件的组成及顺序按照如下要求提供：</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1、提供有效的营业执照（副本）；</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2、法定代表人证明书或授权委托书原件；</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备注：法定代表人须上传法人证明材料及身份证原件，若为被授权人须上传一份法人授权委托书和身份证原件及授权委托人近一年内在本单位的社保证明材料；</w:t>
      </w:r>
    </w:p>
    <w:p>
      <w:pPr>
        <w:pStyle w:val="3"/>
        <w:spacing w:line="360" w:lineRule="auto"/>
        <w:rPr>
          <w:rFonts w:hint="eastAsia" w:ascii="仿宋" w:hAnsi="仿宋" w:eastAsia="仿宋" w:cs="仿宋"/>
          <w:sz w:val="28"/>
          <w:szCs w:val="28"/>
          <w:highlight w:val="none"/>
          <w:lang w:eastAsia="zh-Hans"/>
        </w:rPr>
      </w:pPr>
      <w:r>
        <w:rPr>
          <w:rFonts w:hint="eastAsia" w:ascii="仿宋" w:hAnsi="仿宋" w:eastAsia="仿宋" w:cs="仿宋"/>
          <w:color w:val="000000"/>
          <w:position w:val="5"/>
          <w:sz w:val="28"/>
          <w:szCs w:val="28"/>
          <w:highlight w:val="none"/>
        </w:rPr>
        <w:t>3</w:t>
      </w:r>
      <w:r>
        <w:rPr>
          <w:rFonts w:hint="eastAsia" w:ascii="仿宋" w:hAnsi="仿宋" w:eastAsia="仿宋" w:cs="仿宋"/>
          <w:color w:val="000000"/>
          <w:position w:val="5"/>
          <w:sz w:val="28"/>
          <w:szCs w:val="28"/>
          <w:highlight w:val="none"/>
          <w:lang w:eastAsia="zh-Hans"/>
        </w:rPr>
        <w:t>、提供销售和安装（以上两项需同时具备）能力的设备厂商承诺书，若是授权代理商，提供所投标货物生产制造商出具的书面授权书；招标单位只接受生产厂家一份项目授权书；</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4、提供本企业</w:t>
      </w:r>
      <w:r>
        <w:rPr>
          <w:rFonts w:hint="eastAsia" w:ascii="仿宋" w:hAnsi="仿宋" w:eastAsia="仿宋" w:cs="仿宋"/>
          <w:color w:val="000000"/>
          <w:position w:val="5"/>
          <w:sz w:val="28"/>
          <w:szCs w:val="28"/>
          <w:highlight w:val="none"/>
          <w:lang w:eastAsia="zh-Hans"/>
        </w:rPr>
        <w:t>近三年</w:t>
      </w:r>
      <w:r>
        <w:rPr>
          <w:rFonts w:hint="eastAsia" w:ascii="仿宋" w:hAnsi="仿宋" w:eastAsia="仿宋" w:cs="仿宋"/>
          <w:color w:val="000000"/>
          <w:position w:val="5"/>
          <w:sz w:val="28"/>
          <w:szCs w:val="28"/>
          <w:highlight w:val="none"/>
        </w:rPr>
        <w:t>财务报表或第三方财务审计报告；</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5、提供本企业2020</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两个及以上类似项目业绩的证明材料（以合同为准）；</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6、提供竞谈商未被列入国家企业信用信息公示系统（http://www.gsxt.gov.cn/index.html）严重违法失信企业名单或相关证明材料；</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7、数据保密协议（附件2）。</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以上各类证书、证明材料应为原件的扫描件或复印件加盖公章，并按以上“组成及顺序”合并在一份PDF格式文件中，于</w:t>
      </w:r>
      <w:r>
        <w:rPr>
          <w:rFonts w:hint="eastAsia" w:ascii="仿宋" w:hAnsi="仿宋" w:eastAsia="仿宋" w:cs="仿宋"/>
          <w:position w:val="5"/>
          <w:sz w:val="28"/>
          <w:szCs w:val="28"/>
          <w:highlight w:val="none"/>
          <w:lang w:eastAsia="zh-Hans"/>
        </w:rPr>
        <w:t>报名</w:t>
      </w:r>
      <w:r>
        <w:rPr>
          <w:rFonts w:hint="eastAsia" w:ascii="仿宋" w:hAnsi="仿宋" w:eastAsia="仿宋" w:cs="仿宋"/>
          <w:position w:val="5"/>
          <w:sz w:val="28"/>
          <w:szCs w:val="28"/>
          <w:highlight w:val="none"/>
        </w:rPr>
        <w:t>截止时间前（如下）送到</w:t>
      </w:r>
      <w:r>
        <w:rPr>
          <w:rFonts w:hint="eastAsia" w:ascii="仿宋" w:hAnsi="仿宋" w:eastAsia="仿宋" w:cs="仿宋"/>
          <w:position w:val="5"/>
          <w:sz w:val="28"/>
          <w:szCs w:val="28"/>
          <w:highlight w:val="none"/>
          <w:lang w:val="en-US" w:eastAsia="zh-CN"/>
        </w:rPr>
        <w:t>liyanfeng</w:t>
      </w:r>
      <w:r>
        <w:rPr>
          <w:rFonts w:hint="eastAsia" w:ascii="仿宋" w:hAnsi="仿宋" w:eastAsia="仿宋" w:cs="仿宋"/>
          <w:position w:val="5"/>
          <w:sz w:val="28"/>
          <w:szCs w:val="28"/>
          <w:highlight w:val="none"/>
        </w:rPr>
        <w:t>@nmghuasheng.com电子邮箱进行审查（过期发送不予受理），邮件主题为“单位名称+项目名称，邮件内容写清楚报名单位的联系人和联系电话”，审查合格后方可购买谈判文件（仅作为发放竞谈文件的依据）。</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spacing w:line="360" w:lineRule="auto"/>
        <w:ind w:firstLine="565" w:firstLineChars="202"/>
        <w:rPr>
          <w:rFonts w:hint="eastAsia" w:ascii="仿宋" w:hAnsi="仿宋" w:eastAsia="仿宋" w:cs="仿宋"/>
          <w:position w:val="5"/>
          <w:sz w:val="28"/>
          <w:szCs w:val="28"/>
          <w:highlight w:val="none"/>
          <w:u w:val="single"/>
        </w:rPr>
      </w:pPr>
      <w:r>
        <w:rPr>
          <w:rFonts w:hint="eastAsia" w:ascii="仿宋" w:hAnsi="仿宋" w:eastAsia="仿宋" w:cs="仿宋"/>
          <w:position w:val="5"/>
          <w:sz w:val="28"/>
          <w:szCs w:val="28"/>
          <w:highlight w:val="none"/>
        </w:rPr>
        <w:t>资料邮寄地址：内蒙古自治区呼和浩特市赛罕区锡林南路盈嘉国际综合楼27层（</w:t>
      </w:r>
      <w:r>
        <w:rPr>
          <w:rFonts w:hint="eastAsia" w:ascii="仿宋" w:hAnsi="仿宋" w:eastAsia="仿宋" w:cs="仿宋"/>
          <w:position w:val="5"/>
          <w:sz w:val="28"/>
          <w:szCs w:val="28"/>
          <w:highlight w:val="none"/>
          <w:lang w:val="en-US" w:eastAsia="zh-CN"/>
        </w:rPr>
        <w:t>李彦峰</w:t>
      </w:r>
      <w:r>
        <w:rPr>
          <w:rFonts w:hint="eastAsia" w:ascii="仿宋" w:hAnsi="仿宋" w:eastAsia="仿宋" w:cs="仿宋"/>
          <w:position w:val="5"/>
          <w:sz w:val="28"/>
          <w:szCs w:val="28"/>
          <w:highlight w:val="none"/>
        </w:rPr>
        <w:t>132</w:t>
      </w:r>
      <w:r>
        <w:rPr>
          <w:rFonts w:hint="eastAsia" w:ascii="仿宋" w:hAnsi="仿宋" w:eastAsia="仿宋" w:cs="仿宋"/>
          <w:position w:val="5"/>
          <w:sz w:val="28"/>
          <w:szCs w:val="28"/>
          <w:highlight w:val="none"/>
          <w:lang w:val="en-US" w:eastAsia="zh-CN"/>
        </w:rPr>
        <w:t>04800293</w:t>
      </w:r>
      <w:r>
        <w:rPr>
          <w:rFonts w:hint="eastAsia" w:ascii="仿宋" w:hAnsi="仿宋" w:eastAsia="仿宋" w:cs="仿宋"/>
          <w:position w:val="5"/>
          <w:sz w:val="28"/>
          <w:szCs w:val="28"/>
          <w:highlight w:val="none"/>
        </w:rPr>
        <w:t>）</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position w:val="5"/>
          <w:sz w:val="28"/>
          <w:szCs w:val="28"/>
          <w:highlight w:val="none"/>
        </w:rPr>
        <w:t>资料提供不全或者未按时间要求提报的将被拒绝接收，所提供的资质业绩文件中如有虚假情况，一经发现将被取消投标资格。</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六、项目时间安排及要求：</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1、报名时间：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20</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27</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2、资格预审时间：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w:t>
      </w:r>
      <w:r>
        <w:rPr>
          <w:rFonts w:hint="eastAsia" w:ascii="仿宋" w:hAnsi="仿宋" w:eastAsia="仿宋" w:cs="仿宋"/>
          <w:position w:val="5"/>
          <w:sz w:val="28"/>
          <w:szCs w:val="28"/>
          <w:highlight w:val="none"/>
          <w:u w:val="single"/>
          <w:lang w:val="en-US" w:eastAsia="zh-CN"/>
        </w:rPr>
        <w:t>5</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28</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3、谈判文件发售时间：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29</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30</w:t>
      </w:r>
      <w:r>
        <w:rPr>
          <w:rFonts w:hint="eastAsia" w:ascii="仿宋" w:hAnsi="仿宋" w:eastAsia="仿宋" w:cs="仿宋"/>
          <w:position w:val="5"/>
          <w:sz w:val="28"/>
          <w:szCs w:val="28"/>
          <w:highlight w:val="none"/>
        </w:rPr>
        <w:t>日发售谈判文件</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谈判文件每套售价：人民币 200 元，售后不退（汇款后将回执扫描后发联系人邮箱主题栏里写清楚项目名称）；</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具体打款信息如下：</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开户银行：兴业银行呼和浩特分行营业部</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收款单位: 内蒙古华晟工程项目管理有限公司</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银行账号：592010100100885229</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银行行号：309191002015</w:t>
      </w:r>
    </w:p>
    <w:p>
      <w:pPr>
        <w:spacing w:line="360" w:lineRule="auto"/>
        <w:ind w:firstLine="560" w:firstLineChars="200"/>
        <w:rPr>
          <w:rFonts w:hint="eastAsia" w:ascii="仿宋" w:hAnsi="仿宋" w:eastAsia="仿宋" w:cs="仿宋"/>
          <w:color w:val="000000"/>
          <w:position w:val="5"/>
          <w:sz w:val="28"/>
          <w:szCs w:val="28"/>
          <w:highlight w:val="none"/>
        </w:rPr>
      </w:pPr>
      <w:r>
        <w:rPr>
          <w:rFonts w:hint="eastAsia" w:ascii="仿宋" w:hAnsi="仿宋" w:eastAsia="仿宋" w:cs="仿宋"/>
          <w:position w:val="5"/>
          <w:sz w:val="28"/>
          <w:szCs w:val="28"/>
          <w:highlight w:val="none"/>
        </w:rPr>
        <w:t>4、谈判时间：以发出的谈判文件为准；</w:t>
      </w:r>
    </w:p>
    <w:p>
      <w:pPr>
        <w:spacing w:line="360" w:lineRule="auto"/>
        <w:ind w:firstLine="562" w:firstLineChars="200"/>
        <w:rPr>
          <w:rFonts w:hint="eastAsia" w:ascii="仿宋" w:hAnsi="仿宋" w:eastAsia="仿宋" w:cs="仿宋"/>
          <w:b/>
          <w:position w:val="5"/>
          <w:sz w:val="28"/>
          <w:szCs w:val="28"/>
          <w:highlight w:val="none"/>
          <w:u w:val="single"/>
        </w:rPr>
      </w:pPr>
      <w:r>
        <w:rPr>
          <w:rFonts w:hint="eastAsia" w:ascii="仿宋" w:hAnsi="仿宋" w:eastAsia="仿宋" w:cs="仿宋"/>
          <w:b/>
          <w:position w:val="5"/>
          <w:sz w:val="28"/>
          <w:szCs w:val="28"/>
          <w:highlight w:val="none"/>
        </w:rPr>
        <w:t>七、谈判地点：</w:t>
      </w:r>
      <w:r>
        <w:rPr>
          <w:rFonts w:hint="eastAsia" w:ascii="仿宋" w:hAnsi="仿宋" w:eastAsia="仿宋" w:cs="仿宋"/>
          <w:position w:val="5"/>
          <w:sz w:val="28"/>
          <w:szCs w:val="28"/>
          <w:highlight w:val="none"/>
        </w:rPr>
        <w:t>以发出的谈判文件为准</w:t>
      </w:r>
    </w:p>
    <w:p>
      <w:pPr>
        <w:spacing w:line="360" w:lineRule="auto"/>
        <w:ind w:firstLine="562" w:firstLineChars="200"/>
        <w:rPr>
          <w:rFonts w:hint="eastAsia" w:ascii="仿宋" w:hAnsi="仿宋" w:eastAsia="仿宋" w:cs="仿宋"/>
          <w:b/>
          <w:color w:val="000000"/>
          <w:position w:val="5"/>
          <w:sz w:val="28"/>
          <w:szCs w:val="28"/>
          <w:highlight w:val="none"/>
        </w:rPr>
      </w:pPr>
      <w:r>
        <w:rPr>
          <w:rFonts w:hint="eastAsia" w:ascii="仿宋" w:hAnsi="仿宋" w:eastAsia="仿宋" w:cs="仿宋"/>
          <w:b/>
          <w:color w:val="000000"/>
          <w:position w:val="5"/>
          <w:sz w:val="28"/>
          <w:szCs w:val="28"/>
          <w:highlight w:val="none"/>
        </w:rPr>
        <w:t>八、发布媒体：</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蒙牛官网（http://www.mengniu.com.cn）</w:t>
      </w:r>
      <w:r>
        <w:rPr>
          <w:rFonts w:hint="eastAsia" w:ascii="仿宋" w:hAnsi="仿宋" w:eastAsia="仿宋" w:cs="仿宋"/>
          <w:color w:val="000000"/>
          <w:position w:val="5"/>
          <w:sz w:val="28"/>
          <w:szCs w:val="28"/>
          <w:highlight w:val="none"/>
          <w:lang w:val="en-US" w:eastAsia="zh-CN"/>
        </w:rPr>
        <w:t>及</w:t>
      </w:r>
      <w:r>
        <w:rPr>
          <w:rFonts w:hint="eastAsia" w:ascii="仿宋" w:hAnsi="仿宋" w:eastAsia="仿宋" w:cs="仿宋"/>
          <w:color w:val="000000"/>
          <w:position w:val="5"/>
          <w:sz w:val="28"/>
          <w:szCs w:val="28"/>
          <w:highlight w:val="none"/>
        </w:rPr>
        <w:t>内部OA平台</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此公告只在以上平台发布，其他任何媒体转载无效。</w:t>
      </w:r>
    </w:p>
    <w:p>
      <w:pPr>
        <w:adjustRightInd w:val="0"/>
        <w:snapToGrid w:val="0"/>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lang w:eastAsia="zh-Hans"/>
        </w:rPr>
        <w:t>九、</w:t>
      </w:r>
      <w:r>
        <w:rPr>
          <w:rFonts w:hint="eastAsia" w:ascii="仿宋" w:hAnsi="仿宋" w:eastAsia="仿宋" w:cs="仿宋"/>
          <w:b/>
          <w:position w:val="5"/>
          <w:sz w:val="28"/>
          <w:szCs w:val="28"/>
          <w:highlight w:val="none"/>
        </w:rPr>
        <w:t>招标代理机构及联系方式：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招标代理机构：内蒙古华晟工程项目管理有限公司</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报名联系人：李彦峰（</w:t>
      </w:r>
      <w:r>
        <w:rPr>
          <w:rFonts w:hint="eastAsia" w:ascii="仿宋" w:hAnsi="仿宋" w:eastAsia="仿宋" w:cs="仿宋"/>
          <w:color w:val="000000"/>
          <w:position w:val="5"/>
          <w:sz w:val="28"/>
          <w:szCs w:val="28"/>
          <w:highlight w:val="none"/>
          <w:lang w:val="en-US" w:eastAsia="zh-CN"/>
        </w:rPr>
        <w:t>13204800293</w:t>
      </w:r>
      <w:r>
        <w:rPr>
          <w:rFonts w:hint="eastAsia" w:ascii="仿宋" w:hAnsi="仿宋" w:eastAsia="仿宋" w:cs="仿宋"/>
          <w:color w:val="000000"/>
          <w:position w:val="5"/>
          <w:sz w:val="28"/>
          <w:szCs w:val="28"/>
          <w:highlight w:val="none"/>
        </w:rPr>
        <w:t>）/周靖宇（13474803800）</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联系电话：0471-3957849/4918085-8013</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电子邮箱：liyanfeng@nmghuasheng.com</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联系地址：内蒙古自治区呼和浩特市赛罕区锡林南路盈嘉国际综合楼27层</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十</w:t>
      </w:r>
      <w:r>
        <w:rPr>
          <w:rFonts w:hint="eastAsia" w:ascii="仿宋" w:hAnsi="仿宋" w:eastAsia="仿宋" w:cs="仿宋"/>
          <w:b/>
          <w:position w:val="5"/>
          <w:sz w:val="28"/>
          <w:szCs w:val="28"/>
          <w:highlight w:val="none"/>
        </w:rPr>
        <w:t>、采购招标实施方及联系方式：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业务咨询联系人：王桃</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联系方式：18676315891</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十</w:t>
      </w:r>
      <w:r>
        <w:rPr>
          <w:rFonts w:hint="eastAsia" w:ascii="仿宋" w:hAnsi="仿宋" w:eastAsia="仿宋" w:cs="仿宋"/>
          <w:b/>
          <w:position w:val="5"/>
          <w:sz w:val="28"/>
          <w:szCs w:val="28"/>
          <w:highlight w:val="none"/>
          <w:lang w:eastAsia="zh-Hans"/>
        </w:rPr>
        <w:t>一</w:t>
      </w:r>
      <w:r>
        <w:rPr>
          <w:rFonts w:hint="eastAsia" w:ascii="仿宋" w:hAnsi="仿宋" w:eastAsia="仿宋" w:cs="仿宋"/>
          <w:b/>
          <w:position w:val="5"/>
          <w:sz w:val="28"/>
          <w:szCs w:val="28"/>
          <w:highlight w:val="none"/>
        </w:rPr>
        <w:t>、监督单位及联系方式：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异议/投诉服务网址：</w:t>
      </w:r>
      <w:r>
        <w:rPr>
          <w:rFonts w:hint="eastAsia" w:ascii="仿宋" w:hAnsi="仿宋" w:eastAsia="仿宋" w:cs="仿宋"/>
          <w:color w:val="000000"/>
          <w:position w:val="5"/>
          <w:sz w:val="28"/>
          <w:szCs w:val="28"/>
          <w:highlight w:val="none"/>
        </w:rPr>
        <w:fldChar w:fldCharType="begin"/>
      </w:r>
      <w:r>
        <w:rPr>
          <w:rFonts w:hint="eastAsia" w:ascii="仿宋" w:hAnsi="仿宋" w:eastAsia="仿宋" w:cs="仿宋"/>
          <w:color w:val="000000"/>
          <w:position w:val="5"/>
          <w:sz w:val="28"/>
          <w:szCs w:val="28"/>
          <w:highlight w:val="none"/>
        </w:rPr>
        <w:instrText xml:space="preserve"> HYPERLINK "https://zbcg.mengniu.cn/" \l "/home" \t "_blank" </w:instrText>
      </w:r>
      <w:r>
        <w:rPr>
          <w:rFonts w:hint="eastAsia" w:ascii="仿宋" w:hAnsi="仿宋" w:eastAsia="仿宋" w:cs="仿宋"/>
          <w:color w:val="000000"/>
          <w:position w:val="5"/>
          <w:sz w:val="28"/>
          <w:szCs w:val="28"/>
          <w:highlight w:val="none"/>
        </w:rPr>
        <w:fldChar w:fldCharType="separate"/>
      </w:r>
      <w:r>
        <w:rPr>
          <w:rFonts w:hint="eastAsia" w:ascii="仿宋" w:hAnsi="仿宋" w:eastAsia="仿宋" w:cs="仿宋"/>
          <w:color w:val="000000"/>
          <w:position w:val="5"/>
          <w:sz w:val="28"/>
          <w:szCs w:val="28"/>
          <w:highlight w:val="none"/>
        </w:rPr>
        <w:t>https://zbcg.mengniu.cn/#/home</w:t>
      </w:r>
      <w:r>
        <w:rPr>
          <w:rFonts w:hint="eastAsia" w:ascii="仿宋" w:hAnsi="仿宋" w:eastAsia="仿宋" w:cs="仿宋"/>
          <w:color w:val="000000"/>
          <w:position w:val="5"/>
          <w:sz w:val="28"/>
          <w:szCs w:val="28"/>
          <w:highlight w:val="none"/>
        </w:rPr>
        <w:fldChar w:fldCharType="end"/>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shd w:val="clear" w:color="auto" w:fill="FFFFFF"/>
        <w:snapToGrid w:val="0"/>
        <w:spacing w:line="360" w:lineRule="auto"/>
        <w:jc w:val="left"/>
        <w:rPr>
          <w:rFonts w:hint="eastAsia" w:ascii="仿宋" w:hAnsi="仿宋" w:eastAsia="仿宋" w:cs="仿宋"/>
          <w:color w:val="000000"/>
          <w:position w:val="5"/>
          <w:sz w:val="28"/>
          <w:szCs w:val="28"/>
          <w:highlight w:val="none"/>
        </w:rPr>
      </w:pPr>
    </w:p>
    <w:p>
      <w:pPr>
        <w:pStyle w:val="3"/>
        <w:spacing w:line="360" w:lineRule="auto"/>
        <w:rPr>
          <w:rFonts w:hint="eastAsia" w:ascii="仿宋" w:hAnsi="仿宋" w:eastAsia="仿宋" w:cs="仿宋"/>
          <w:sz w:val="28"/>
          <w:szCs w:val="28"/>
        </w:rPr>
      </w:pPr>
    </w:p>
    <w:p>
      <w:pPr>
        <w:pStyle w:val="3"/>
        <w:spacing w:line="360" w:lineRule="auto"/>
        <w:rPr>
          <w:rFonts w:hint="eastAsia" w:ascii="仿宋" w:hAnsi="仿宋" w:eastAsia="仿宋" w:cs="仿宋"/>
          <w:sz w:val="28"/>
          <w:szCs w:val="28"/>
          <w:highlight w:val="none"/>
        </w:rPr>
      </w:pPr>
    </w:p>
    <w:p>
      <w:pPr>
        <w:shd w:val="clear" w:color="auto" w:fill="FFFFFF"/>
        <w:snapToGrid w:val="0"/>
        <w:spacing w:line="360" w:lineRule="auto"/>
        <w:ind w:firstLine="560" w:firstLineChars="200"/>
        <w:jc w:val="left"/>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附件：1.潜在竞谈单位所报标段信息表</w:t>
      </w:r>
    </w:p>
    <w:p>
      <w:pPr>
        <w:spacing w:line="360" w:lineRule="auto"/>
        <w:ind w:left="14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2.数据保密协议</w:t>
      </w:r>
    </w:p>
    <w:p>
      <w:pPr>
        <w:adjustRightInd w:val="0"/>
        <w:snapToGrid w:val="0"/>
        <w:spacing w:line="360" w:lineRule="auto"/>
        <w:rPr>
          <w:rFonts w:hint="eastAsia" w:ascii="仿宋" w:hAnsi="仿宋" w:eastAsia="仿宋" w:cs="仿宋"/>
          <w:position w:val="5"/>
          <w:sz w:val="28"/>
          <w:szCs w:val="28"/>
          <w:highlight w:val="none"/>
        </w:rPr>
      </w:pPr>
    </w:p>
    <w:p>
      <w:pPr>
        <w:spacing w:line="360" w:lineRule="auto"/>
        <w:ind w:right="640" w:firstLine="565" w:firstLineChars="202"/>
        <w:jc w:val="righ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蒙牛乳制品清远有限责任公司</w:t>
      </w:r>
    </w:p>
    <w:p>
      <w:pPr>
        <w:spacing w:line="360" w:lineRule="auto"/>
        <w:ind w:right="640" w:firstLine="565" w:firstLineChars="202"/>
        <w:jc w:val="right"/>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内蒙古华晟工程项目管理有限公司</w:t>
      </w:r>
    </w:p>
    <w:p>
      <w:pPr>
        <w:spacing w:line="360" w:lineRule="auto"/>
        <w:ind w:right="640" w:firstLine="565" w:firstLineChars="202"/>
        <w:jc w:val="right"/>
        <w:rPr>
          <w:rFonts w:hint="eastAsia" w:ascii="仿宋" w:hAnsi="仿宋" w:eastAsia="仿宋" w:cs="仿宋"/>
          <w:sz w:val="28"/>
          <w:szCs w:val="28"/>
          <w:highlight w:val="none"/>
        </w:rPr>
      </w:pPr>
      <w:r>
        <w:rPr>
          <w:rFonts w:hint="eastAsia" w:ascii="仿宋" w:hAnsi="仿宋" w:eastAsia="仿宋" w:cs="仿宋"/>
          <w:position w:val="5"/>
          <w:sz w:val="28"/>
          <w:szCs w:val="28"/>
          <w:highlight w:val="none"/>
        </w:rPr>
        <w:t>2023年</w:t>
      </w:r>
      <w:r>
        <w:rPr>
          <w:rFonts w:hint="eastAsia" w:ascii="仿宋" w:hAnsi="仿宋" w:eastAsia="仿宋" w:cs="仿宋"/>
          <w:position w:val="5"/>
          <w:sz w:val="28"/>
          <w:szCs w:val="28"/>
          <w:highlight w:val="non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lang w:val="en-US" w:eastAsia="zh-CN"/>
        </w:rPr>
        <w:t>19</w:t>
      </w:r>
      <w:r>
        <w:rPr>
          <w:rFonts w:hint="eastAsia" w:ascii="仿宋" w:hAnsi="仿宋" w:eastAsia="仿宋" w:cs="仿宋"/>
          <w:position w:val="5"/>
          <w:sz w:val="28"/>
          <w:szCs w:val="28"/>
          <w:highlight w:val="none"/>
        </w:rPr>
        <w:t>日</w:t>
      </w:r>
    </w:p>
    <w:p>
      <w:pPr>
        <w:spacing w:line="360" w:lineRule="auto"/>
        <w:rPr>
          <w:rFonts w:hint="eastAsia" w:ascii="仿宋" w:hAnsi="仿宋" w:eastAsia="仿宋" w:cs="仿宋"/>
          <w:sz w:val="28"/>
          <w:szCs w:val="28"/>
          <w:highlight w:val="none"/>
        </w:rPr>
      </w:pPr>
    </w:p>
    <w:p>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潜在竞谈单位报名信息表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2399"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潜在竞谈单位名称</w:t>
            </w:r>
          </w:p>
        </w:tc>
        <w:tc>
          <w:tcPr>
            <w:tcW w:w="1630"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标段</w:t>
            </w:r>
          </w:p>
        </w:tc>
        <w:tc>
          <w:tcPr>
            <w:tcW w:w="1538"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1713"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1856"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bl>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数据保密协议</w:t>
      </w:r>
    </w:p>
    <w:p>
      <w:pPr>
        <w:adjustRightInd w:val="0"/>
        <w:snapToGrid w:val="0"/>
        <w:spacing w:line="360" w:lineRule="auto"/>
        <w:ind w:left="559" w:leftChars="266"/>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甲方：蒙牛乳制品清远有限责任公司</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 xml:space="preserve">承诺方： </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xml:space="preserve">   </w:t>
      </w:r>
      <w:r>
        <w:rPr>
          <w:rFonts w:hint="eastAsia" w:ascii="仿宋" w:hAnsi="仿宋" w:eastAsia="仿宋" w:cs="仿宋"/>
          <w:color w:val="000000"/>
          <w:kern w:val="0"/>
          <w:sz w:val="28"/>
          <w:szCs w:val="28"/>
          <w:highlight w:val="none"/>
        </w:rPr>
        <w:t>双方经平等协商同意，自愿签订本协议，共同遵守本协议所列条款。</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第一条，保密的定义、内容和范围</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3、包括但不限于以直接、间接、口头或书面等形式提供商业秘密的行为均属泄密。 </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第二条，保密条款</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1、承诺方同意严格按照本协议的规定使用甲方的保密信息，未经甲方的事先书面许可，不得向第三方，或允许向第三方直接或间接</w:t>
      </w:r>
      <w:r>
        <w:rPr>
          <w:rFonts w:hint="eastAsia" w:ascii="仿宋" w:hAnsi="仿宋" w:eastAsia="仿宋" w:cs="仿宋"/>
          <w:color w:val="000000"/>
          <w:kern w:val="0"/>
          <w:sz w:val="28"/>
          <w:szCs w:val="28"/>
          <w:highlight w:val="none"/>
          <w:lang w:eastAsia="zh-CN"/>
        </w:rPr>
        <w:t>地</w:t>
      </w:r>
      <w:r>
        <w:rPr>
          <w:rFonts w:hint="eastAsia" w:ascii="仿宋" w:hAnsi="仿宋" w:eastAsia="仿宋" w:cs="仿宋"/>
          <w:color w:val="000000"/>
          <w:kern w:val="0"/>
          <w:sz w:val="28"/>
          <w:szCs w:val="28"/>
          <w:highlight w:val="none"/>
        </w:rPr>
        <w:t>透露保密信息。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2、承诺方负责对保密信息进行保密，并采取所有必要的预防措施（包括但不限于双方采取的用于保护自身保密信息的措施）防止第三方未经授权的使用及透露保密信息；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3、承诺方不得向第三方提供保密信息或由保密信息衍生的信息；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4、除了本协议确定的保密信息应用范围外，承诺方不得在任何时候使用保密信息。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5、本条款项下的义务适用于任何保密信息，或根据双方事先或目前协议由甲方提供给承诺方的其他专有和/或保密信息。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6、本协议终止后，承诺方应立即自费将保密信息物归原主，并归还所有含保密信息的文件或媒体及其复制件或摘要。</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7、协议确定业务的承诺方员工。如果参与本协议的承诺方员工不再继续参与本项目，则应确保立即终止该员工获得对方保密信息和信息源的途径。</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eastAsia="zh-CN"/>
        </w:rPr>
        <w:t>第三条，</w:t>
      </w:r>
      <w:r>
        <w:rPr>
          <w:rFonts w:hint="eastAsia" w:ascii="仿宋" w:hAnsi="仿宋" w:eastAsia="仿宋" w:cs="仿宋"/>
          <w:b/>
          <w:color w:val="000000"/>
          <w:kern w:val="0"/>
          <w:sz w:val="28"/>
          <w:szCs w:val="28"/>
          <w:highlight w:val="none"/>
        </w:rPr>
        <w:t xml:space="preserve">双方的权利与义务  </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1、承诺方应自觉维护甲方的利益，严格遵守本委托方的保密规定；</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2、承诺方不得向任何单位和个人泄露所掌握的商业秘密事项；</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3、承诺方不得利用所掌握的商业秘密牟取私利；</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4、承诺方了解并承认，由于技术服务等原因，承诺方有可能在某些情况下访问甲方数据。</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5、承诺方同意并承诺，对所有保密信息予以严格保密，在未得到甲方事先许可的情况下不得披露给任何第三人；</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 xml:space="preserve"> </w:t>
      </w:r>
      <w:r>
        <w:rPr>
          <w:rFonts w:hint="eastAsia" w:ascii="仿宋" w:hAnsi="仿宋" w:eastAsia="仿宋" w:cs="仿宋"/>
          <w:b/>
          <w:color w:val="000000"/>
          <w:kern w:val="0"/>
          <w:sz w:val="28"/>
          <w:szCs w:val="28"/>
          <w:highlight w:val="none"/>
          <w:lang w:eastAsia="zh-CN"/>
        </w:rPr>
        <w:t>第四条，</w:t>
      </w:r>
      <w:r>
        <w:rPr>
          <w:rFonts w:hint="eastAsia" w:ascii="仿宋" w:hAnsi="仿宋" w:eastAsia="仿宋" w:cs="仿宋"/>
          <w:b/>
          <w:color w:val="000000"/>
          <w:kern w:val="0"/>
          <w:sz w:val="28"/>
          <w:szCs w:val="28"/>
          <w:highlight w:val="none"/>
        </w:rPr>
        <w:t>本《协议》项下的保密义务不适用于如下信息：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1、由于承诺方以外其他渠道被他人获知的信息，这些渠道并不受保密义务的限制；</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2、由于法律的适用、法院或其他国家有权机关的要求而披露的信息。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3、另一方从不受保密限制的第三方获得的信息；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4、未参考保密信息而由另一方独立开发的信息；</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eastAsia="zh-CN"/>
        </w:rPr>
        <w:t>第五条，</w:t>
      </w:r>
      <w:r>
        <w:rPr>
          <w:rFonts w:hint="eastAsia" w:ascii="仿宋" w:hAnsi="仿宋" w:eastAsia="仿宋" w:cs="仿宋"/>
          <w:b/>
          <w:color w:val="000000"/>
          <w:kern w:val="0"/>
          <w:sz w:val="28"/>
          <w:szCs w:val="28"/>
          <w:highlight w:val="none"/>
        </w:rPr>
        <w:t>如果</w:t>
      </w:r>
      <w:r>
        <w:rPr>
          <w:rFonts w:hint="eastAsia" w:ascii="仿宋" w:hAnsi="仿宋" w:eastAsia="仿宋" w:cs="仿宋"/>
          <w:color w:val="000000"/>
          <w:kern w:val="0"/>
          <w:sz w:val="28"/>
          <w:szCs w:val="28"/>
          <w:highlight w:val="none"/>
        </w:rPr>
        <w:t>承诺方</w:t>
      </w:r>
      <w:r>
        <w:rPr>
          <w:rFonts w:hint="eastAsia" w:ascii="仿宋" w:hAnsi="仿宋" w:eastAsia="仿宋" w:cs="仿宋"/>
          <w:b/>
          <w:color w:val="000000"/>
          <w:kern w:val="0"/>
          <w:sz w:val="28"/>
          <w:szCs w:val="28"/>
          <w:highlight w:val="none"/>
        </w:rPr>
        <w:t>违反本协议的以上规定情形</w:t>
      </w:r>
      <w:r>
        <w:rPr>
          <w:rFonts w:hint="eastAsia" w:ascii="仿宋" w:hAnsi="仿宋" w:eastAsia="仿宋" w:cs="仿宋"/>
          <w:b/>
          <w:color w:val="000000"/>
          <w:kern w:val="0"/>
          <w:sz w:val="28"/>
          <w:szCs w:val="28"/>
          <w:highlight w:val="none"/>
          <w:lang w:eastAsia="zh-CN"/>
        </w:rPr>
        <w:t>，</w:t>
      </w:r>
      <w:r>
        <w:rPr>
          <w:rFonts w:hint="eastAsia" w:ascii="仿宋" w:hAnsi="仿宋" w:eastAsia="仿宋" w:cs="仿宋"/>
          <w:b/>
          <w:color w:val="000000"/>
          <w:kern w:val="0"/>
          <w:sz w:val="28"/>
          <w:szCs w:val="28"/>
          <w:highlight w:val="none"/>
        </w:rPr>
        <w:t>则甲方有权将承诺方拉入蒙牛供应商黑名单，并要积极配合甲方在10个工作日内收回已经泄露的信息。</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eastAsia="zh-CN"/>
        </w:rPr>
        <w:t>第六条，</w:t>
      </w:r>
      <w:r>
        <w:rPr>
          <w:rFonts w:hint="eastAsia" w:ascii="仿宋" w:hAnsi="仿宋" w:eastAsia="仿宋" w:cs="仿宋"/>
          <w:b/>
          <w:color w:val="000000"/>
          <w:kern w:val="0"/>
          <w:sz w:val="28"/>
          <w:szCs w:val="28"/>
          <w:highlight w:val="none"/>
        </w:rPr>
        <w:t>争议解决方式</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协议适用中华人民共和国法律，因本协议引起或与本协议有关的任何争议，应由双方友好协商解决，协商不成的，双方同意向呼和浩特仲裁委员会申请仲裁。因仲裁产生的包括但不限于仲裁费、律师费、调查费、差旅费等，由败诉一方承担。</w:t>
      </w:r>
    </w:p>
    <w:p>
      <w:pPr>
        <w:widowControl/>
        <w:adjustRightInd w:val="0"/>
        <w:snapToGrid w:val="0"/>
        <w:spacing w:line="360" w:lineRule="auto"/>
        <w:ind w:firstLine="562" w:firstLineChars="20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eastAsia="zh-CN"/>
        </w:rPr>
        <w:t>第七条，</w:t>
      </w:r>
      <w:r>
        <w:rPr>
          <w:rFonts w:hint="eastAsia" w:ascii="仿宋" w:hAnsi="仿宋" w:eastAsia="仿宋" w:cs="仿宋"/>
          <w:b/>
          <w:color w:val="000000"/>
          <w:kern w:val="0"/>
          <w:sz w:val="28"/>
          <w:szCs w:val="28"/>
          <w:highlight w:val="none"/>
        </w:rPr>
        <w:t xml:space="preserve">此协议自签字盖章之日起生效。 </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（以下无正文）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承诺方（公章）：</w:t>
      </w:r>
    </w:p>
    <w:p>
      <w:pPr>
        <w:widowControl/>
        <w:adjustRightInd w:val="0"/>
        <w:snapToGrid w:val="0"/>
        <w:spacing w:line="360" w:lineRule="auto"/>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代表人（手写签字）：</w:t>
      </w:r>
    </w:p>
    <w:p>
      <w:pPr>
        <w:widowControl/>
        <w:adjustRightInd w:val="0"/>
        <w:snapToGrid w:val="0"/>
        <w:spacing w:line="360" w:lineRule="auto"/>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pPr>
        <w:spacing w:line="360" w:lineRule="auto"/>
        <w:rPr>
          <w:rFonts w:hint="eastAsia" w:ascii="仿宋" w:hAnsi="仿宋" w:eastAsia="仿宋" w:cs="仿宋"/>
          <w:position w:val="5"/>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4417f56f-ed2a-4b66-ad8e-82289794e4cd"/>
  </w:docVars>
  <w:rsids>
    <w:rsidRoot w:val="00222DA1"/>
    <w:rsid w:val="00035CA0"/>
    <w:rsid w:val="00040744"/>
    <w:rsid w:val="00053BB9"/>
    <w:rsid w:val="00080551"/>
    <w:rsid w:val="000814A0"/>
    <w:rsid w:val="000F2E0F"/>
    <w:rsid w:val="00124629"/>
    <w:rsid w:val="00146358"/>
    <w:rsid w:val="00193ADD"/>
    <w:rsid w:val="001A03FA"/>
    <w:rsid w:val="001A48F7"/>
    <w:rsid w:val="001B0DD4"/>
    <w:rsid w:val="001C386F"/>
    <w:rsid w:val="001F00E8"/>
    <w:rsid w:val="002224F6"/>
    <w:rsid w:val="00222DA1"/>
    <w:rsid w:val="00224EE3"/>
    <w:rsid w:val="00230DD0"/>
    <w:rsid w:val="00262594"/>
    <w:rsid w:val="002733AA"/>
    <w:rsid w:val="002C32F1"/>
    <w:rsid w:val="002C35BD"/>
    <w:rsid w:val="002C68EC"/>
    <w:rsid w:val="002D45CB"/>
    <w:rsid w:val="003078E2"/>
    <w:rsid w:val="00343CA2"/>
    <w:rsid w:val="00350D65"/>
    <w:rsid w:val="00381361"/>
    <w:rsid w:val="003E2B80"/>
    <w:rsid w:val="003F1837"/>
    <w:rsid w:val="00433476"/>
    <w:rsid w:val="00434050"/>
    <w:rsid w:val="00444051"/>
    <w:rsid w:val="004D3ABF"/>
    <w:rsid w:val="00504FC2"/>
    <w:rsid w:val="00525508"/>
    <w:rsid w:val="005258FA"/>
    <w:rsid w:val="0053291C"/>
    <w:rsid w:val="00537D61"/>
    <w:rsid w:val="0055156D"/>
    <w:rsid w:val="00576B04"/>
    <w:rsid w:val="005829BD"/>
    <w:rsid w:val="00582DCB"/>
    <w:rsid w:val="00590CB8"/>
    <w:rsid w:val="005A01C3"/>
    <w:rsid w:val="005C06DB"/>
    <w:rsid w:val="005F72C7"/>
    <w:rsid w:val="0061759D"/>
    <w:rsid w:val="006722FA"/>
    <w:rsid w:val="0069336F"/>
    <w:rsid w:val="006B212B"/>
    <w:rsid w:val="006B493B"/>
    <w:rsid w:val="006D3A56"/>
    <w:rsid w:val="006E0EB4"/>
    <w:rsid w:val="0071652C"/>
    <w:rsid w:val="0077309A"/>
    <w:rsid w:val="00776C95"/>
    <w:rsid w:val="00795FD5"/>
    <w:rsid w:val="007B21F9"/>
    <w:rsid w:val="007E0DCF"/>
    <w:rsid w:val="007F46E7"/>
    <w:rsid w:val="0083035A"/>
    <w:rsid w:val="008368EF"/>
    <w:rsid w:val="00895AEC"/>
    <w:rsid w:val="008D5360"/>
    <w:rsid w:val="0093586A"/>
    <w:rsid w:val="00964DED"/>
    <w:rsid w:val="0098478F"/>
    <w:rsid w:val="009B29A3"/>
    <w:rsid w:val="00A11212"/>
    <w:rsid w:val="00A13E06"/>
    <w:rsid w:val="00A14039"/>
    <w:rsid w:val="00AA46FF"/>
    <w:rsid w:val="00AE2811"/>
    <w:rsid w:val="00AF173D"/>
    <w:rsid w:val="00AF23AE"/>
    <w:rsid w:val="00AF4203"/>
    <w:rsid w:val="00B036A4"/>
    <w:rsid w:val="00B62398"/>
    <w:rsid w:val="00B765BA"/>
    <w:rsid w:val="00BA2172"/>
    <w:rsid w:val="00BC4F37"/>
    <w:rsid w:val="00BD5E29"/>
    <w:rsid w:val="00BF167B"/>
    <w:rsid w:val="00C731D6"/>
    <w:rsid w:val="00C74CAA"/>
    <w:rsid w:val="00C7598F"/>
    <w:rsid w:val="00CB03B6"/>
    <w:rsid w:val="00CC23B1"/>
    <w:rsid w:val="00CC3D95"/>
    <w:rsid w:val="00CD2455"/>
    <w:rsid w:val="00D059C8"/>
    <w:rsid w:val="00D34260"/>
    <w:rsid w:val="00D61436"/>
    <w:rsid w:val="00D830DF"/>
    <w:rsid w:val="00DB31B5"/>
    <w:rsid w:val="00E14B98"/>
    <w:rsid w:val="00E357F6"/>
    <w:rsid w:val="00E63505"/>
    <w:rsid w:val="00E8505F"/>
    <w:rsid w:val="00ED18C7"/>
    <w:rsid w:val="00EF0E25"/>
    <w:rsid w:val="00F428E1"/>
    <w:rsid w:val="00F67557"/>
    <w:rsid w:val="00F74DD0"/>
    <w:rsid w:val="00F95612"/>
    <w:rsid w:val="014B4556"/>
    <w:rsid w:val="01727E43"/>
    <w:rsid w:val="031A6F10"/>
    <w:rsid w:val="07982FF5"/>
    <w:rsid w:val="087E6D41"/>
    <w:rsid w:val="08EB0472"/>
    <w:rsid w:val="0947655F"/>
    <w:rsid w:val="09AB4C3A"/>
    <w:rsid w:val="0A1D59C5"/>
    <w:rsid w:val="0C8C3F9B"/>
    <w:rsid w:val="0DFE726B"/>
    <w:rsid w:val="0E6C78AF"/>
    <w:rsid w:val="0F4731B5"/>
    <w:rsid w:val="0F8B2F3A"/>
    <w:rsid w:val="101B09A4"/>
    <w:rsid w:val="10DB142F"/>
    <w:rsid w:val="11C03C35"/>
    <w:rsid w:val="13EA71F5"/>
    <w:rsid w:val="149A58AF"/>
    <w:rsid w:val="179C4942"/>
    <w:rsid w:val="19F64E7C"/>
    <w:rsid w:val="1DB09559"/>
    <w:rsid w:val="1DE4386F"/>
    <w:rsid w:val="1F390D20"/>
    <w:rsid w:val="1FFB9FF7"/>
    <w:rsid w:val="214974ED"/>
    <w:rsid w:val="21F96AA0"/>
    <w:rsid w:val="2305495A"/>
    <w:rsid w:val="23E72545"/>
    <w:rsid w:val="25C95059"/>
    <w:rsid w:val="288333CB"/>
    <w:rsid w:val="29CB25E0"/>
    <w:rsid w:val="2A5333CA"/>
    <w:rsid w:val="2D386F74"/>
    <w:rsid w:val="2FF0749A"/>
    <w:rsid w:val="343D21A6"/>
    <w:rsid w:val="35DF5681"/>
    <w:rsid w:val="35E14BA8"/>
    <w:rsid w:val="37FF81C2"/>
    <w:rsid w:val="395FF41F"/>
    <w:rsid w:val="3BF3EF79"/>
    <w:rsid w:val="3E174005"/>
    <w:rsid w:val="3E3B53CF"/>
    <w:rsid w:val="3E7DEB41"/>
    <w:rsid w:val="3EC1513C"/>
    <w:rsid w:val="3EF05A48"/>
    <w:rsid w:val="3EFBB676"/>
    <w:rsid w:val="3EFD261F"/>
    <w:rsid w:val="3FF70901"/>
    <w:rsid w:val="3FFF1215"/>
    <w:rsid w:val="3FFF9947"/>
    <w:rsid w:val="40643107"/>
    <w:rsid w:val="419261BB"/>
    <w:rsid w:val="41B25855"/>
    <w:rsid w:val="435A0517"/>
    <w:rsid w:val="44FD3FB4"/>
    <w:rsid w:val="4522219F"/>
    <w:rsid w:val="4A8E58A7"/>
    <w:rsid w:val="4AD805EB"/>
    <w:rsid w:val="4B17770D"/>
    <w:rsid w:val="4BFB75F4"/>
    <w:rsid w:val="4D57DFBF"/>
    <w:rsid w:val="4DA57D46"/>
    <w:rsid w:val="4E578E87"/>
    <w:rsid w:val="4E737743"/>
    <w:rsid w:val="53F3B3A5"/>
    <w:rsid w:val="54723AE6"/>
    <w:rsid w:val="55F715C1"/>
    <w:rsid w:val="57D53304"/>
    <w:rsid w:val="58B16746"/>
    <w:rsid w:val="5A5180F1"/>
    <w:rsid w:val="5B60C7FB"/>
    <w:rsid w:val="5B6F2EFE"/>
    <w:rsid w:val="5D7D4935"/>
    <w:rsid w:val="5FAD37A1"/>
    <w:rsid w:val="5FD4A69F"/>
    <w:rsid w:val="5FD8136D"/>
    <w:rsid w:val="61267DD0"/>
    <w:rsid w:val="630E4B89"/>
    <w:rsid w:val="64930FF0"/>
    <w:rsid w:val="65DBDCE8"/>
    <w:rsid w:val="66A01A3E"/>
    <w:rsid w:val="66EB976C"/>
    <w:rsid w:val="66EBB4FD"/>
    <w:rsid w:val="677F6759"/>
    <w:rsid w:val="69616CE5"/>
    <w:rsid w:val="6A05798A"/>
    <w:rsid w:val="6A2374F5"/>
    <w:rsid w:val="6ADB5328"/>
    <w:rsid w:val="6BBB4781"/>
    <w:rsid w:val="6CDD5EC6"/>
    <w:rsid w:val="6E671577"/>
    <w:rsid w:val="6E6F829C"/>
    <w:rsid w:val="6E9FEBAC"/>
    <w:rsid w:val="6ED31CC6"/>
    <w:rsid w:val="6F37F4DA"/>
    <w:rsid w:val="6FAF61CA"/>
    <w:rsid w:val="6FF46194"/>
    <w:rsid w:val="6FFEF997"/>
    <w:rsid w:val="703B725D"/>
    <w:rsid w:val="70A116E1"/>
    <w:rsid w:val="73BF625E"/>
    <w:rsid w:val="750D0927"/>
    <w:rsid w:val="75291805"/>
    <w:rsid w:val="75A9B598"/>
    <w:rsid w:val="75FCEE55"/>
    <w:rsid w:val="7656F104"/>
    <w:rsid w:val="7657AD11"/>
    <w:rsid w:val="77770782"/>
    <w:rsid w:val="77A11DFC"/>
    <w:rsid w:val="77EC108B"/>
    <w:rsid w:val="77F76083"/>
    <w:rsid w:val="79DF2801"/>
    <w:rsid w:val="7A5B7BD3"/>
    <w:rsid w:val="7B1F6F2E"/>
    <w:rsid w:val="7BBF3AE0"/>
    <w:rsid w:val="7BDA0722"/>
    <w:rsid w:val="7D9F6F36"/>
    <w:rsid w:val="7E2A3603"/>
    <w:rsid w:val="7ED71C7D"/>
    <w:rsid w:val="7EDD8841"/>
    <w:rsid w:val="7EEEB208"/>
    <w:rsid w:val="7FAFF41E"/>
    <w:rsid w:val="7FB8E207"/>
    <w:rsid w:val="7FDBC6D3"/>
    <w:rsid w:val="7FDF4DB3"/>
    <w:rsid w:val="7FFF5C5F"/>
    <w:rsid w:val="7FFFB0B5"/>
    <w:rsid w:val="7FFFDF59"/>
    <w:rsid w:val="9B2E1BDE"/>
    <w:rsid w:val="9E9B6F56"/>
    <w:rsid w:val="9FFF688F"/>
    <w:rsid w:val="ABFAD332"/>
    <w:rsid w:val="B2AF724B"/>
    <w:rsid w:val="B5EF738B"/>
    <w:rsid w:val="BEEEE3C9"/>
    <w:rsid w:val="BF7BF5D2"/>
    <w:rsid w:val="BFCF8FA5"/>
    <w:rsid w:val="CF49DD35"/>
    <w:rsid w:val="CFBF6B61"/>
    <w:rsid w:val="D6BBD9B0"/>
    <w:rsid w:val="D7F294B4"/>
    <w:rsid w:val="D957DBC6"/>
    <w:rsid w:val="D95F9F8B"/>
    <w:rsid w:val="D9F7C5B4"/>
    <w:rsid w:val="DBCF3344"/>
    <w:rsid w:val="DBF98A41"/>
    <w:rsid w:val="DCF8273C"/>
    <w:rsid w:val="DEFF620F"/>
    <w:rsid w:val="DF7FF7BD"/>
    <w:rsid w:val="DFDD364C"/>
    <w:rsid w:val="DFE5D93F"/>
    <w:rsid w:val="E37B046C"/>
    <w:rsid w:val="E50AFD64"/>
    <w:rsid w:val="E56698DC"/>
    <w:rsid w:val="E6F33CFB"/>
    <w:rsid w:val="E7F13F21"/>
    <w:rsid w:val="E9DF2471"/>
    <w:rsid w:val="E9FF5B1D"/>
    <w:rsid w:val="EBD5C7FD"/>
    <w:rsid w:val="EC9E091D"/>
    <w:rsid w:val="EEBB5E5B"/>
    <w:rsid w:val="EF2E1BE1"/>
    <w:rsid w:val="F2FDA901"/>
    <w:rsid w:val="F4E9BB11"/>
    <w:rsid w:val="F5CE170B"/>
    <w:rsid w:val="F6EE2781"/>
    <w:rsid w:val="F6F741C0"/>
    <w:rsid w:val="F6FACF5B"/>
    <w:rsid w:val="F7179FB0"/>
    <w:rsid w:val="F7EB28B1"/>
    <w:rsid w:val="F7F00B8F"/>
    <w:rsid w:val="F8A78289"/>
    <w:rsid w:val="F9FBEC70"/>
    <w:rsid w:val="FAD0B18A"/>
    <w:rsid w:val="FBD633D5"/>
    <w:rsid w:val="FBF46241"/>
    <w:rsid w:val="FBF9BBC2"/>
    <w:rsid w:val="FC6BB7E4"/>
    <w:rsid w:val="FCF634CA"/>
    <w:rsid w:val="FD59885A"/>
    <w:rsid w:val="FD5FDE1E"/>
    <w:rsid w:val="FDBA11AE"/>
    <w:rsid w:val="FDF5A09A"/>
    <w:rsid w:val="FDFC2B90"/>
    <w:rsid w:val="FE3A449A"/>
    <w:rsid w:val="FED9BC07"/>
    <w:rsid w:val="FF7306A3"/>
    <w:rsid w:val="FF7F48BD"/>
    <w:rsid w:val="FFDEB2FC"/>
    <w:rsid w:val="FFDFF0E2"/>
    <w:rsid w:val="FFFFC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00" w:lineRule="exact"/>
      <w:ind w:left="360" w:right="24"/>
    </w:pPr>
    <w:rPr>
      <w:rFonts w:cs="Arial"/>
      <w:szCs w:val="24"/>
    </w:rPr>
  </w:style>
  <w:style w:type="paragraph" w:styleId="3">
    <w:name w:val="Normal Indent"/>
    <w:basedOn w:val="1"/>
    <w:unhideWhenUsed/>
    <w:qFormat/>
    <w:uiPriority w:val="99"/>
    <w:pPr>
      <w:ind w:firstLine="420" w:firstLineChars="200"/>
    </w:pPr>
  </w:style>
  <w:style w:type="paragraph" w:styleId="4">
    <w:name w:val="annotation text"/>
    <w:basedOn w:val="1"/>
    <w:link w:val="19"/>
    <w:unhideWhenUsed/>
    <w:qFormat/>
    <w:uiPriority w:val="99"/>
    <w:pPr>
      <w:jc w:val="left"/>
    </w:pPr>
  </w:style>
  <w:style w:type="paragraph" w:styleId="5">
    <w:name w:val="Body Text Indent"/>
    <w:basedOn w:val="1"/>
    <w:qFormat/>
    <w:uiPriority w:val="0"/>
    <w:pPr>
      <w:spacing w:after="120"/>
      <w:ind w:left="420" w:leftChars="200"/>
    </w:pPr>
    <w:rPr>
      <w:rFonts w:ascii="Calibri" w:hAnsi="Calibri"/>
    </w:r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4"/>
    <w:next w:val="4"/>
    <w:link w:val="20"/>
    <w:unhideWhenUsed/>
    <w:qFormat/>
    <w:uiPriority w:val="99"/>
    <w:rPr>
      <w:b/>
      <w:bCs/>
    </w:rPr>
  </w:style>
  <w:style w:type="paragraph" w:styleId="11">
    <w:name w:val="Body Text First Indent 2"/>
    <w:basedOn w:val="5"/>
    <w:qFormat/>
    <w:uiPriority w:val="0"/>
    <w:pPr>
      <w:ind w:firstLine="420" w:firstLineChars="200"/>
    </w:pPr>
    <w:rPr>
      <w:rFonts w:ascii="Times New Roman"/>
    </w:rPr>
  </w:style>
  <w:style w:type="character" w:styleId="14">
    <w:name w:val="Hyperlink"/>
    <w:qFormat/>
    <w:uiPriority w:val="0"/>
    <w:rPr>
      <w:color w:val="0000FF"/>
      <w:u w:val="none"/>
    </w:rPr>
  </w:style>
  <w:style w:type="character" w:styleId="15">
    <w:name w:val="annotation reference"/>
    <w:basedOn w:val="13"/>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character" w:customStyle="1" w:styleId="19">
    <w:name w:val="批注文字 字符"/>
    <w:basedOn w:val="13"/>
    <w:link w:val="4"/>
    <w:semiHidden/>
    <w:qFormat/>
    <w:uiPriority w:val="99"/>
    <w:rPr>
      <w:rFonts w:ascii="Times New Roman" w:hAnsi="Times New Roman" w:eastAsia="宋体" w:cs="Times New Roman"/>
      <w:kern w:val="2"/>
      <w:sz w:val="21"/>
      <w:szCs w:val="24"/>
    </w:rPr>
  </w:style>
  <w:style w:type="character" w:customStyle="1" w:styleId="20">
    <w:name w:val="批注主题 字符"/>
    <w:basedOn w:val="19"/>
    <w:link w:val="10"/>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3351</Words>
  <Characters>3694</Characters>
  <Lines>1</Lines>
  <Paragraphs>1</Paragraphs>
  <TotalTime>10</TotalTime>
  <ScaleCrop>false</ScaleCrop>
  <LinksUpToDate>false</LinksUpToDate>
  <CharactersWithSpaces>3742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2018-04-21T18:08:00Z</dcterms:created>
  <dc:creator>0002219</dc:creator>
  <cp:lastModifiedBy>蔡红霞</cp:lastModifiedBy>
  <dcterms:modified xsi:type="dcterms:W3CDTF">2023-06-19T07:05:03Z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861A96BEB4CF413480EFC21428DD2955</vt:lpwstr>
  </property>
</Properties>
</file>