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低温事业部天津工厂</w:t>
      </w:r>
      <w:r>
        <w:rPr>
          <w:rFonts w:hint="eastAsia" w:ascii="宋体" w:hAnsi="宋体" w:cs="宋体"/>
          <w:b/>
          <w:bCs/>
          <w:kern w:val="0"/>
          <w:sz w:val="36"/>
          <w:szCs w:val="36"/>
          <w:u w:val="single"/>
          <w:lang w:val="en-US" w:eastAsia="zh-CN"/>
        </w:rPr>
        <w:t>电力容量改需量服务</w:t>
      </w:r>
      <w:r>
        <w:rPr>
          <w:rFonts w:hint="eastAsia" w:ascii="宋体" w:hAnsi="宋体" w:cs="宋体"/>
          <w:b/>
          <w:bCs/>
          <w:kern w:val="0"/>
          <w:sz w:val="36"/>
          <w:szCs w:val="36"/>
        </w:rPr>
        <w:t>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电力容量改需量服务</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MNCGJH-20230621-0006</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：天津工厂电力容量改需量服务项目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天津工厂供电结算每月支付基本电费，通过厂家大数据服务改变供电基本电费的取费口径来节约基本电费支付，节约公司的供电费用，故针对电力容量改需量服务进行比价。</w:t>
      </w:r>
    </w:p>
    <w:p>
      <w:pPr>
        <w:numPr>
          <w:ilvl w:val="0"/>
          <w:numId w:val="1"/>
        </w:num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资格要求：</w:t>
      </w:r>
    </w:p>
    <w:p>
      <w:pPr>
        <w:numPr>
          <w:numId w:val="0"/>
        </w:numPr>
        <w:ind w:firstLine="560" w:firstLineChars="200"/>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bidi="ar-SA"/>
        </w:rPr>
        <w:t>1、竞价方营业执照经营范围应包含技术服务、技术咨询或合同能源管理；</w:t>
      </w:r>
    </w:p>
    <w:p>
      <w:pPr>
        <w:spacing w:line="360" w:lineRule="auto"/>
        <w:ind w:right="84" w:rightChars="40" w:firstLine="560" w:firstLineChars="200"/>
        <w:rPr>
          <w:rFonts w:ascii="仿宋_GB2312" w:hAnsi="宋体" w:eastAsia="仿宋_GB2312" w:cs="Arial"/>
          <w:sz w:val="28"/>
          <w:szCs w:val="28"/>
        </w:rPr>
      </w:pPr>
      <w:r>
        <w:rPr>
          <w:rFonts w:hint="eastAsia" w:ascii="仿宋_GB2312" w:hAnsi="宋体" w:eastAsia="仿宋_GB2312" w:cs="宋体"/>
          <w:kern w:val="0"/>
          <w:sz w:val="28"/>
          <w:szCs w:val="28"/>
          <w:lang w:val="en-US" w:eastAsia="zh-CN" w:bidi="ar-SA"/>
        </w:rPr>
        <w:t>2、竞价人未被列入国家企业信用信息公示系统（</w:t>
      </w:r>
      <w:r>
        <w:rPr>
          <w:rFonts w:hint="eastAsia" w:ascii="仿宋_GB2312" w:hAnsi="宋体" w:eastAsia="仿宋_GB2312" w:cs="宋体"/>
          <w:kern w:val="0"/>
          <w:sz w:val="28"/>
          <w:szCs w:val="28"/>
          <w:lang w:val="en-US" w:eastAsia="zh-CN" w:bidi="ar-SA"/>
        </w:rPr>
        <w:fldChar w:fldCharType="begin"/>
      </w:r>
      <w:r>
        <w:rPr>
          <w:rFonts w:hint="eastAsia" w:ascii="仿宋_GB2312" w:hAnsi="宋体" w:eastAsia="仿宋_GB2312" w:cs="宋体"/>
          <w:kern w:val="0"/>
          <w:sz w:val="28"/>
          <w:szCs w:val="28"/>
          <w:lang w:val="en-US" w:eastAsia="zh-CN" w:bidi="ar-SA"/>
        </w:rPr>
        <w:instrText xml:space="preserve"> HYPERLINK "http://www.gsxt.gov.cn/index.html%EF%BC%89%E4%B8%A5%E9%87%8D%E8%BF%9D%E6%B3%95%E5%A4%B1%E4%BF%A1%E4%BC%81%E4%B8%9A%E5%90%8D%E5%8D%95" \t "_blank" </w:instrText>
      </w:r>
      <w:r>
        <w:rPr>
          <w:rFonts w:hint="eastAsia" w:ascii="仿宋_GB2312" w:hAnsi="宋体" w:eastAsia="仿宋_GB2312" w:cs="宋体"/>
          <w:kern w:val="0"/>
          <w:sz w:val="28"/>
          <w:szCs w:val="28"/>
          <w:lang w:val="en-US" w:eastAsia="zh-CN" w:bidi="ar-SA"/>
        </w:rPr>
        <w:fldChar w:fldCharType="separate"/>
      </w:r>
      <w:r>
        <w:rPr>
          <w:rFonts w:hint="eastAsia" w:ascii="仿宋_GB2312" w:hAnsi="宋体" w:eastAsia="仿宋_GB2312" w:cs="宋体"/>
          <w:kern w:val="0"/>
          <w:sz w:val="28"/>
          <w:szCs w:val="28"/>
          <w:lang w:val="en-US" w:eastAsia="zh-CN" w:bidi="ar-SA"/>
        </w:rPr>
        <w:t>http://www.gsxt.gov.cn/index.html）严重违法失信企业名单</w:t>
      </w:r>
      <w:r>
        <w:rPr>
          <w:rFonts w:hint="eastAsia" w:ascii="仿宋_GB2312" w:hAnsi="宋体" w:eastAsia="仿宋_GB2312" w:cs="宋体"/>
          <w:kern w:val="0"/>
          <w:sz w:val="28"/>
          <w:szCs w:val="28"/>
          <w:lang w:val="en-US" w:eastAsia="zh-CN" w:bidi="ar-SA"/>
        </w:rPr>
        <w:fldChar w:fldCharType="end"/>
      </w:r>
      <w:r>
        <w:rPr>
          <w:rFonts w:hint="eastAsia" w:ascii="仿宋_GB2312" w:hAnsi="宋体" w:eastAsia="仿宋_GB2312" w:cs="宋体"/>
          <w:kern w:val="0"/>
          <w:sz w:val="28"/>
          <w:szCs w:val="28"/>
          <w:lang w:val="en-US" w:eastAsia="zh-CN" w:bidi="ar-SA"/>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numPr>
          <w:ilvl w:val="0"/>
          <w:numId w:val="1"/>
        </w:numPr>
        <w:ind w:firstLine="562" w:firstLineChars="200"/>
        <w:rPr>
          <w:rFonts w:hint="eastAsia" w:ascii="仿宋_GB2312" w:hAnsi="宋体" w:eastAsia="仿宋_GB2312"/>
          <w:b/>
          <w:sz w:val="28"/>
          <w:szCs w:val="28"/>
        </w:rPr>
      </w:pPr>
      <w:r>
        <w:rPr>
          <w:rFonts w:hint="eastAsia" w:ascii="仿宋_GB2312" w:hAnsi="宋体" w:eastAsia="仿宋_GB2312"/>
          <w:b/>
          <w:sz w:val="28"/>
          <w:szCs w:val="28"/>
        </w:rPr>
        <w:t>报名须知</w:t>
      </w:r>
    </w:p>
    <w:p>
      <w:pPr>
        <w:spacing w:line="500" w:lineRule="exact"/>
        <w:ind w:firstLine="562" w:firstLineChars="200"/>
        <w:jc w:val="left"/>
        <w:rPr>
          <w:rFonts w:ascii="仿宋" w:hAnsi="仿宋" w:eastAsia="仿宋"/>
          <w:b/>
          <w:i w:val="0"/>
          <w:iCs/>
          <w:color w:val="000000" w:themeColor="text1"/>
          <w:sz w:val="28"/>
          <w:szCs w:val="28"/>
          <w14:textFill>
            <w14:solidFill>
              <w14:schemeClr w14:val="tx1"/>
            </w14:solidFill>
          </w14:textFill>
        </w:rPr>
      </w:pPr>
      <w:r>
        <w:rPr>
          <w:rFonts w:hint="eastAsia" w:ascii="仿宋" w:hAnsi="仿宋" w:eastAsia="仿宋"/>
          <w:b/>
          <w:i w:val="0"/>
          <w:iCs/>
          <w:color w:val="000000" w:themeColor="text1"/>
          <w:sz w:val="28"/>
          <w:szCs w:val="28"/>
          <w14:textFill>
            <w14:solidFill>
              <w14:schemeClr w14:val="tx1"/>
            </w14:solidFill>
          </w14:textFill>
        </w:rPr>
        <w:t>执行蒙牛集团电子采购招标平台线上采购招标流程</w:t>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潜在竞谈人依据资格要求自主评估，符合条件的进行网上报名及资格验证，蒙牛集团电子采购招标平台网址：</w:t>
      </w:r>
    </w:p>
    <w:p>
      <w:pPr>
        <w:spacing w:line="500" w:lineRule="exact"/>
        <w:ind w:firstLine="420" w:firstLineChars="200"/>
        <w:jc w:val="left"/>
        <w:rPr>
          <w:rStyle w:val="12"/>
          <w:color w:val="000000" w:themeColor="text1"/>
          <w:sz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"https://zbcg.mengniu.cn/" \l "/home" \t "_blank" </w:instrText>
      </w:r>
      <w:r>
        <w:rPr>
          <w:color w:val="000000" w:themeColor="text1"/>
          <w14:textFill>
            <w14:solidFill>
              <w14:schemeClr w14:val="tx1"/>
            </w14:solidFill>
          </w14:textFill>
        </w:rPr>
        <w:fldChar w:fldCharType="separate"/>
      </w:r>
      <w:r>
        <w:rPr>
          <w:rStyle w:val="12"/>
          <w:rFonts w:hint="eastAsia" w:ascii="仿宋_GB2312" w:hAnsi="宋体" w:eastAsia="仿宋_GB2312"/>
          <w:color w:val="000000" w:themeColor="text1"/>
          <w:sz w:val="30"/>
          <w:szCs w:val="30"/>
          <w14:textFill>
            <w14:solidFill>
              <w14:schemeClr w14:val="tx1"/>
            </w14:solidFill>
          </w14:textFill>
        </w:rPr>
        <w:t>https://zbcg.mengniu.cn/#/home</w:t>
      </w:r>
      <w:r>
        <w:rPr>
          <w:rStyle w:val="12"/>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请先阅读服务手册，平台服务支持电话为010-21362559。</w:t>
      </w:r>
    </w:p>
    <w:p>
      <w:pPr>
        <w:spacing w:line="500" w:lineRule="exact"/>
        <w:ind w:firstLine="602" w:firstLineChars="200"/>
        <w:jc w:val="left"/>
        <w:rPr>
          <w:rFonts w:ascii="仿宋_GB2312" w:hAnsi="宋体" w:eastAsia="仿宋_GB2312"/>
          <w:b/>
          <w:i w:val="0"/>
          <w:iCs/>
          <w:color w:val="000000" w:themeColor="text1"/>
          <w:sz w:val="30"/>
          <w:szCs w:val="30"/>
          <w14:textFill>
            <w14:solidFill>
              <w14:schemeClr w14:val="tx1"/>
            </w14:solidFill>
          </w14:textFill>
        </w:rPr>
      </w:pPr>
      <w:r>
        <w:rPr>
          <w:rFonts w:hint="eastAsia" w:ascii="仿宋_GB2312" w:hAnsi="宋体" w:eastAsia="仿宋_GB2312"/>
          <w:b/>
          <w:i w:val="0"/>
          <w:iCs/>
          <w:color w:val="000000" w:themeColor="text1"/>
          <w:sz w:val="30"/>
          <w:szCs w:val="30"/>
          <w14:textFill>
            <w14:solidFill>
              <w14:schemeClr w14:val="tx1"/>
            </w14:solidFill>
          </w14:textFill>
        </w:rPr>
        <w:t>或：登录蒙牛供应商关系管理平台报名</w:t>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潜在竞谈人依据资格要求自主评估，符合条件的进行网上报名及资格验证，蒙牛集团供应链关系管理平台网址：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"https://srm.mengniu.cn/sap/bc/webdynpro/sap/zregistration" </w:instrText>
      </w:r>
      <w:r>
        <w:rPr>
          <w:color w:val="000000" w:themeColor="text1"/>
          <w14:textFill>
            <w14:solidFill>
              <w14:schemeClr w14:val="tx1"/>
            </w14:solidFill>
          </w14:textFill>
        </w:rPr>
        <w:fldChar w:fldCharType="separate"/>
      </w:r>
      <w:r>
        <w:rPr>
          <w:rStyle w:val="12"/>
          <w:rFonts w:hint="eastAsia" w:ascii="仿宋_GB2312" w:hAnsi="宋体" w:eastAsia="仿宋_GB2312"/>
          <w:color w:val="000000" w:themeColor="text1"/>
          <w:sz w:val="30"/>
          <w:szCs w:val="30"/>
          <w14:textFill>
            <w14:solidFill>
              <w14:schemeClr w14:val="tx1"/>
            </w14:solidFill>
          </w14:textFill>
        </w:rPr>
        <w:t>https://srm.mengniu.cn/sap/bc/webdynpro/sap/zregistration</w:t>
      </w:r>
      <w:r>
        <w:rPr>
          <w:rStyle w:val="12"/>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1、</w:t>
      </w:r>
      <w:r>
        <w:rPr>
          <w:rFonts w:hint="eastAsia" w:ascii="仿宋_GB2312" w:hAnsi="宋体" w:eastAsia="仿宋_GB2312"/>
          <w:color w:val="000000"/>
          <w:sz w:val="30"/>
          <w:szCs w:val="30"/>
        </w:rPr>
        <w:t>竞价人未被列入国家企业信用信息公示系统（</w:t>
      </w:r>
      <w:r>
        <w:rPr>
          <w:rFonts w:hint="eastAsia" w:ascii="仿宋_GB2312" w:hAnsi="宋体" w:eastAsia="仿宋_GB2312"/>
          <w:color w:val="000000"/>
          <w:sz w:val="30"/>
          <w:szCs w:val="30"/>
        </w:rPr>
        <w:fldChar w:fldCharType="begin"/>
      </w:r>
      <w:r>
        <w:rPr>
          <w:rFonts w:hint="eastAsia" w:ascii="仿宋_GB2312" w:hAnsi="宋体" w:eastAsia="仿宋_GB2312"/>
          <w:color w:val="000000"/>
          <w:sz w:val="30"/>
          <w:szCs w:val="30"/>
        </w:rPr>
        <w:instrText xml:space="preserve"> HYPERLINK "http://www.gsxt.gov.cn/index.html%EF%BC%89%E4%B8%A5%E9%87%8D%E8%BF%9D%E6%B3%95%E5%A4%B1%E4%BF%A1%E4%BC%81%E4%B8%9A%E5%90%8D%E5%8D%95" \t "_blank" </w:instrText>
      </w:r>
      <w:r>
        <w:rPr>
          <w:rFonts w:hint="eastAsia" w:ascii="仿宋_GB2312" w:hAnsi="宋体" w:eastAsia="仿宋_GB2312"/>
          <w:color w:val="000000"/>
          <w:sz w:val="30"/>
          <w:szCs w:val="30"/>
        </w:rPr>
        <w:fldChar w:fldCharType="separate"/>
      </w:r>
      <w:r>
        <w:rPr>
          <w:rFonts w:hint="eastAsia" w:ascii="仿宋_GB2312" w:hAnsi="宋体" w:eastAsia="仿宋_GB2312"/>
          <w:color w:val="000000"/>
          <w:sz w:val="30"/>
          <w:szCs w:val="30"/>
        </w:rPr>
        <w:t>http://www.gsxt.gov.cn/index.html）严重违法失信企业名单</w:t>
      </w:r>
      <w:r>
        <w:rPr>
          <w:rFonts w:hint="eastAsia" w:ascii="仿宋_GB2312" w:hAnsi="宋体" w:eastAsia="仿宋_GB2312"/>
          <w:color w:val="000000"/>
          <w:sz w:val="30"/>
          <w:szCs w:val="30"/>
        </w:rPr>
        <w:fldChar w:fldCharType="end"/>
      </w:r>
      <w:r>
        <w:rPr>
          <w:rFonts w:hint="eastAsia" w:ascii="仿宋_GB2312" w:hAnsi="宋体" w:eastAsia="仿宋_GB2312"/>
          <w:color w:val="000000"/>
          <w:sz w:val="30"/>
          <w:szCs w:val="30"/>
        </w:rPr>
        <w:t>。</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3</w:t>
      </w:r>
      <w:r>
        <w:rPr>
          <w:rFonts w:hint="eastAsia" w:ascii="仿宋_GB2312" w:hAnsi="宋体" w:eastAsia="仿宋_GB2312"/>
          <w:color w:val="000000"/>
          <w:sz w:val="30"/>
          <w:szCs w:val="30"/>
        </w:rPr>
        <w:t>、本次询比价不接受多家单位联合报价，不允许分包或转包。</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4</w:t>
      </w:r>
      <w:r>
        <w:rPr>
          <w:rFonts w:hint="eastAsia" w:ascii="仿宋_GB2312" w:hAnsi="宋体" w:eastAsia="仿宋_GB2312"/>
          <w:color w:val="000000"/>
          <w:sz w:val="30"/>
          <w:szCs w:val="30"/>
        </w:rPr>
        <w:t>、不接受中粮及蒙牛供应商黑名单（以蒙牛集团采购执行管理部下发的黑名单为准）的企业参与竞争；</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5</w:t>
      </w:r>
      <w:r>
        <w:rPr>
          <w:rFonts w:hint="eastAsia" w:ascii="仿宋_GB2312" w:hAnsi="宋体" w:eastAsia="仿宋_GB2312"/>
          <w:color w:val="000000"/>
          <w:sz w:val="30"/>
          <w:szCs w:val="30"/>
        </w:rPr>
        <w:t>、竞价方必须具有有效的营业执照（副本）、组织机构代码证（副本）、税务登记证（副本）（注:以上三项或三证合一营业执照副本），有效的开户行许可证；</w:t>
      </w:r>
    </w:p>
    <w:p>
      <w:pPr>
        <w:spacing w:line="500" w:lineRule="exact"/>
        <w:ind w:firstLine="600" w:firstLineChars="200"/>
        <w:jc w:val="left"/>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6</w:t>
      </w:r>
      <w:r>
        <w:rPr>
          <w:rFonts w:hint="eastAsia" w:ascii="仿宋_GB2312" w:hAnsi="宋体" w:eastAsia="仿宋_GB2312"/>
          <w:color w:val="000000"/>
          <w:sz w:val="30"/>
          <w:szCs w:val="30"/>
        </w:rPr>
        <w:t>、竞价方经营范围应包含技术服务、技术咨询</w:t>
      </w:r>
      <w:r>
        <w:rPr>
          <w:rFonts w:hint="eastAsia" w:ascii="仿宋_GB2312" w:hAnsi="宋体" w:eastAsia="仿宋_GB2312"/>
          <w:color w:val="000000"/>
          <w:sz w:val="30"/>
          <w:szCs w:val="30"/>
          <w:lang w:val="en-US" w:eastAsia="zh-CN"/>
        </w:rPr>
        <w:t>或</w:t>
      </w:r>
      <w:r>
        <w:rPr>
          <w:rFonts w:hint="eastAsia" w:ascii="仿宋_GB2312" w:hAnsi="宋体" w:eastAsia="仿宋_GB2312"/>
          <w:color w:val="000000"/>
          <w:sz w:val="30"/>
          <w:szCs w:val="30"/>
        </w:rPr>
        <w:t>合同能源管理</w:t>
      </w:r>
      <w:r>
        <w:rPr>
          <w:rFonts w:hint="eastAsia" w:ascii="仿宋_GB2312" w:hAnsi="宋体" w:eastAsia="仿宋_GB2312"/>
          <w:color w:val="000000"/>
          <w:sz w:val="30"/>
          <w:szCs w:val="30"/>
          <w:lang w:eastAsia="zh-CN"/>
        </w:rPr>
        <w:t>；</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7</w:t>
      </w:r>
      <w:r>
        <w:rPr>
          <w:rFonts w:hint="eastAsia" w:ascii="仿宋_GB2312" w:hAnsi="宋体" w:eastAsia="仿宋_GB2312"/>
          <w:color w:val="000000"/>
          <w:sz w:val="30"/>
          <w:szCs w:val="30"/>
        </w:rPr>
        <w:t>、近三年无违法违规行为，没有处于被责令停业或破产状态，且资产未被重组、接管和冻结。</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8</w:t>
      </w:r>
      <w:r>
        <w:rPr>
          <w:rFonts w:hint="eastAsia" w:ascii="仿宋_GB2312" w:hAnsi="宋体" w:eastAsia="仿宋_GB2312"/>
          <w:color w:val="000000"/>
          <w:sz w:val="30"/>
          <w:szCs w:val="30"/>
        </w:rPr>
        <w:t>、能开具</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6</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%增值税发票的资格，提供一般纳税人认定资格证明材料；</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9、</w:t>
      </w:r>
      <w:r>
        <w:rPr>
          <w:rFonts w:hint="eastAsia" w:ascii="仿宋_GB2312" w:hAnsi="宋体" w:eastAsia="仿宋_GB2312"/>
          <w:color w:val="000000"/>
          <w:sz w:val="30"/>
          <w:szCs w:val="30"/>
        </w:rPr>
        <w:t xml:space="preserve">提供本企业近 </w:t>
      </w: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 xml:space="preserve"> 年</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2021年、2022年</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rPr>
        <w:t>财务报表或第三方财务审计报告；</w:t>
      </w:r>
    </w:p>
    <w:p>
      <w:pPr>
        <w:spacing w:line="500" w:lineRule="exact"/>
        <w:ind w:firstLine="600" w:firstLineChars="200"/>
        <w:jc w:val="left"/>
        <w:rPr>
          <w:rFonts w:hint="eastAsia" w:ascii="仿宋_GB2312" w:hAnsi="宋体" w:eastAsia="仿宋_GB2312"/>
          <w:color w:val="000000"/>
          <w:sz w:val="30"/>
          <w:szCs w:val="30"/>
          <w:lang w:eastAsia="zh-CN"/>
        </w:rPr>
      </w:pPr>
      <w:r>
        <w:rPr>
          <w:rFonts w:hint="eastAsia" w:ascii="仿宋_GB2312" w:hAnsi="宋体" w:eastAsia="仿宋_GB2312"/>
          <w:color w:val="000000"/>
          <w:sz w:val="30"/>
          <w:szCs w:val="30"/>
          <w:lang w:val="en-US" w:eastAsia="zh-CN"/>
        </w:rPr>
        <w:t>10</w:t>
      </w:r>
      <w:r>
        <w:rPr>
          <w:rFonts w:hint="eastAsia" w:ascii="仿宋_GB2312" w:hAnsi="宋体" w:eastAsia="仿宋_GB2312"/>
          <w:color w:val="000000"/>
          <w:sz w:val="30"/>
          <w:szCs w:val="30"/>
        </w:rPr>
        <w:t>、企业最近1年任意3个月的依法纳税缴纳证明材料和社保缴纳证明材料；</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11</w:t>
      </w:r>
      <w:r>
        <w:rPr>
          <w:rFonts w:hint="eastAsia" w:ascii="仿宋_GB2312" w:hAnsi="宋体" w:eastAsia="仿宋_GB2312"/>
          <w:color w:val="000000"/>
          <w:sz w:val="30"/>
          <w:szCs w:val="30"/>
        </w:rPr>
        <w:t xml:space="preserve">、近 </w:t>
      </w:r>
      <w:r>
        <w:rPr>
          <w:rFonts w:hint="eastAsia" w:ascii="仿宋_GB2312" w:hAnsi="宋体" w:eastAsia="仿宋_GB2312"/>
          <w:color w:val="000000"/>
          <w:sz w:val="30"/>
          <w:szCs w:val="30"/>
          <w:lang w:val="en-US" w:eastAsia="zh-CN"/>
        </w:rPr>
        <w:t>1</w:t>
      </w:r>
      <w:r>
        <w:rPr>
          <w:rFonts w:hint="eastAsia" w:ascii="仿宋_GB2312" w:hAnsi="宋体" w:eastAsia="仿宋_GB2312"/>
          <w:color w:val="000000"/>
          <w:sz w:val="30"/>
          <w:szCs w:val="30"/>
        </w:rPr>
        <w:t xml:space="preserve"> 年（20</w:t>
      </w:r>
      <w:r>
        <w:rPr>
          <w:rFonts w:hint="eastAsia" w:ascii="仿宋_GB2312" w:hAnsi="宋体" w:eastAsia="仿宋_GB2312"/>
          <w:color w:val="000000"/>
          <w:sz w:val="30"/>
          <w:szCs w:val="30"/>
          <w:lang w:val="en-US" w:eastAsia="zh-CN"/>
        </w:rPr>
        <w:t>22</w:t>
      </w:r>
      <w:r>
        <w:rPr>
          <w:rFonts w:hint="eastAsia" w:ascii="仿宋_GB2312" w:hAnsi="宋体" w:eastAsia="仿宋_GB2312"/>
          <w:color w:val="000000"/>
          <w:sz w:val="30"/>
          <w:szCs w:val="30"/>
        </w:rPr>
        <w:t>年</w:t>
      </w:r>
      <w:r>
        <w:rPr>
          <w:rFonts w:hint="eastAsia" w:ascii="仿宋_GB2312" w:hAnsi="宋体" w:eastAsia="仿宋_GB2312"/>
          <w:color w:val="000000"/>
          <w:sz w:val="30"/>
          <w:szCs w:val="30"/>
          <w:lang w:val="en-US" w:eastAsia="zh-CN"/>
        </w:rPr>
        <w:t>1月1日</w:t>
      </w:r>
      <w:r>
        <w:rPr>
          <w:rFonts w:hint="eastAsia" w:ascii="仿宋_GB2312" w:hAnsi="宋体" w:eastAsia="仿宋_GB2312"/>
          <w:color w:val="000000"/>
          <w:sz w:val="30"/>
          <w:szCs w:val="30"/>
        </w:rPr>
        <w:t xml:space="preserve">-至今） </w:t>
      </w:r>
      <w:r>
        <w:rPr>
          <w:rFonts w:hint="eastAsia" w:ascii="仿宋_GB2312" w:hAnsi="宋体" w:eastAsia="仿宋_GB2312"/>
          <w:color w:val="000000"/>
          <w:sz w:val="30"/>
          <w:szCs w:val="30"/>
          <w:lang w:val="en-US" w:eastAsia="zh-CN"/>
        </w:rPr>
        <w:t>2</w:t>
      </w:r>
      <w:r>
        <w:rPr>
          <w:rFonts w:hint="eastAsia" w:ascii="仿宋_GB2312" w:hAnsi="宋体" w:eastAsia="仿宋_GB2312"/>
          <w:color w:val="000000"/>
          <w:sz w:val="30"/>
          <w:szCs w:val="30"/>
        </w:rPr>
        <w:t>个</w:t>
      </w:r>
      <w:r>
        <w:rPr>
          <w:rFonts w:hint="eastAsia" w:ascii="仿宋_GB2312" w:hAnsi="宋体" w:eastAsia="仿宋_GB2312"/>
          <w:color w:val="000000"/>
          <w:sz w:val="30"/>
          <w:szCs w:val="30"/>
          <w:lang w:val="en-US" w:eastAsia="zh-CN"/>
        </w:rPr>
        <w:t>及</w:t>
      </w:r>
      <w:r>
        <w:rPr>
          <w:rFonts w:hint="eastAsia" w:ascii="仿宋_GB2312" w:hAnsi="宋体" w:eastAsia="仿宋_GB2312"/>
          <w:color w:val="000000"/>
          <w:sz w:val="30"/>
          <w:szCs w:val="30"/>
        </w:rPr>
        <w:t>以上类似项目业绩的证明材料（以合同以及订单或验收报告为准）；</w:t>
      </w:r>
    </w:p>
    <w:p>
      <w:p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lang w:val="en-US" w:eastAsia="zh-CN"/>
        </w:rPr>
        <w:t>12</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val="en-US" w:eastAsia="zh-CN"/>
        </w:rPr>
        <w:t>投标人须具有《合同能源管理服务认证证书》资质；</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13</w:t>
      </w:r>
      <w:r>
        <w:rPr>
          <w:rFonts w:hint="eastAsia" w:ascii="仿宋_GB2312" w:hAnsi="宋体" w:eastAsia="仿宋_GB2312"/>
          <w:color w:val="000000"/>
          <w:sz w:val="30"/>
          <w:szCs w:val="30"/>
        </w:rPr>
        <w:t>、</w:t>
      </w:r>
      <w:r>
        <w:rPr>
          <w:rFonts w:hint="eastAsia" w:ascii="仿宋_GB2312" w:hAnsi="宋体" w:eastAsia="仿宋_GB2312"/>
          <w:color w:val="000000"/>
          <w:sz w:val="30"/>
          <w:szCs w:val="30"/>
          <w:lang w:val="en-US" w:eastAsia="zh-CN"/>
        </w:rPr>
        <w:t>投标人须具有</w:t>
      </w:r>
      <w:r>
        <w:rPr>
          <w:rFonts w:hint="eastAsia" w:ascii="仿宋_GB2312" w:hAnsi="宋体" w:eastAsia="仿宋_GB2312"/>
          <w:color w:val="000000"/>
          <w:sz w:val="30"/>
          <w:szCs w:val="30"/>
        </w:rPr>
        <w:t>软件著作权</w:t>
      </w:r>
      <w:r>
        <w:rPr>
          <w:rFonts w:hint="eastAsia" w:ascii="仿宋_GB2312" w:hAnsi="宋体" w:eastAsia="仿宋_GB2312"/>
          <w:color w:val="000000"/>
          <w:sz w:val="30"/>
          <w:szCs w:val="30"/>
          <w:lang w:val="en-US" w:eastAsia="zh-CN"/>
        </w:rPr>
        <w:t>及安装硬件产品的检验报告</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14、法定代表人证明书或授权委托书原件（见附件3</w:t>
      </w:r>
      <w:bookmarkStart w:id="0" w:name="_GoBack"/>
      <w:bookmarkEnd w:id="0"/>
      <w:r>
        <w:rPr>
          <w:rFonts w:hint="eastAsia" w:ascii="仿宋_GB2312" w:hAnsi="宋体" w:eastAsia="仿宋_GB2312"/>
          <w:color w:val="000000"/>
          <w:sz w:val="30"/>
          <w:szCs w:val="30"/>
          <w:lang w:val="en-US" w:eastAsia="zh-CN"/>
        </w:rPr>
        <w:t>）；</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备注：如果法定代表人报名，请附法定代表人身份证明书（或证明）及身份证原件，如果被授权委托人报名，请附授权委托书原件及身份证原件，另外，需提供被授权委托人在本单位近半年社保缴纳的证明文件；</w:t>
      </w:r>
    </w:p>
    <w:p>
      <w:pPr>
        <w:numPr>
          <w:ilvl w:val="0"/>
          <w:numId w:val="2"/>
        </w:numPr>
        <w:spacing w:line="500" w:lineRule="exact"/>
        <w:ind w:firstLine="600" w:firstLineChars="2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保密承诺书（附件2）； </w:t>
      </w:r>
    </w:p>
    <w:p>
      <w:pPr>
        <w:ind w:firstLine="560" w:firstLineChars="200"/>
        <w:jc w:val="left"/>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以上各类证书、证明材料应为原件的扫描件加盖公章，并按以上“组成及顺序”合并在一份PDF格式文件中，并于资格预审截止时间前在“蒙牛集团电子采购招标平（https://zbcg.mengniu.cn/#/home）”进行线上提交（过期发送不予受理），文件命名为</w:t>
      </w:r>
      <w:r>
        <w:rPr>
          <w:rFonts w:hint="eastAsia" w:ascii="仿宋_GB2312" w:hAnsi="宋体" w:eastAsia="仿宋_GB2312" w:cs="Times New Roman"/>
          <w:color w:val="auto"/>
          <w:sz w:val="28"/>
          <w:szCs w:val="28"/>
        </w:rPr>
        <w:t>“</w:t>
      </w:r>
      <w:r>
        <w:rPr>
          <w:rFonts w:hint="eastAsia" w:ascii="仿宋" w:hAnsi="仿宋" w:eastAsia="仿宋" w:cs="仿宋"/>
          <w:b/>
          <w:bCs/>
          <w:color w:val="auto"/>
          <w:sz w:val="28"/>
          <w:szCs w:val="28"/>
        </w:rPr>
        <w:t>单位名称+项目名称，</w:t>
      </w:r>
      <w:r>
        <w:rPr>
          <w:rFonts w:hint="eastAsia" w:ascii="仿宋" w:hAnsi="仿宋" w:eastAsia="仿宋" w:cs="仿宋"/>
          <w:b/>
          <w:bCs/>
          <w:color w:val="auto"/>
          <w:sz w:val="28"/>
          <w:szCs w:val="28"/>
          <w:lang w:val="en-US" w:eastAsia="zh-CN"/>
        </w:rPr>
        <w:t>报名文件</w:t>
      </w:r>
      <w:r>
        <w:rPr>
          <w:rFonts w:hint="eastAsia" w:ascii="仿宋" w:hAnsi="仿宋" w:eastAsia="仿宋" w:cs="仿宋"/>
          <w:b/>
          <w:bCs/>
          <w:color w:val="auto"/>
          <w:sz w:val="28"/>
          <w:szCs w:val="28"/>
        </w:rPr>
        <w:t>内容写清楚报名单位的联系人和联系电话”</w:t>
      </w:r>
      <w:r>
        <w:rPr>
          <w:rFonts w:hint="eastAsia" w:ascii="仿宋_GB2312" w:hAnsi="宋体" w:eastAsia="仿宋_GB2312"/>
          <w:color w:val="auto"/>
          <w:sz w:val="28"/>
          <w:szCs w:val="28"/>
        </w:rPr>
        <w:t>，审</w:t>
      </w:r>
      <w:r>
        <w:rPr>
          <w:rFonts w:hint="eastAsia" w:ascii="仿宋_GB2312" w:hAnsi="宋体" w:eastAsia="仿宋_GB2312" w:cs="Times New Roman"/>
          <w:color w:val="auto"/>
          <w:sz w:val="28"/>
          <w:szCs w:val="28"/>
          <w:lang w:val="en-US" w:eastAsia="zh-CN"/>
        </w:rPr>
        <w:t>查合格后方可领取价单文件。</w:t>
      </w:r>
    </w:p>
    <w:p>
      <w:pPr>
        <w:ind w:firstLine="560" w:firstLineChars="200"/>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资料邮寄地址信息：</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天津市武清区大王古庄镇京滨工业园蒙牛乳业民丰道11号</w:t>
      </w:r>
    </w:p>
    <w:p>
      <w:pPr>
        <w:ind w:firstLine="565" w:firstLineChars="202"/>
        <w:rPr>
          <w:rFonts w:ascii="仿宋" w:hAnsi="仿宋" w:eastAsia="仿宋" w:cs="仿宋"/>
          <w:sz w:val="28"/>
          <w:szCs w:val="28"/>
          <w:u w:val="single"/>
        </w:rPr>
      </w:pPr>
      <w:r>
        <w:rPr>
          <w:rFonts w:hint="eastAsia" w:ascii="仿宋" w:hAnsi="仿宋" w:eastAsia="仿宋" w:cs="仿宋"/>
          <w:sz w:val="28"/>
          <w:szCs w:val="28"/>
          <w:u w:val="single"/>
        </w:rPr>
        <w:t>收件人：张佳影</w:t>
      </w:r>
    </w:p>
    <w:p>
      <w:pPr>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u w:val="single"/>
        </w:rPr>
        <w:t>联系电话：1</w:t>
      </w:r>
      <w:r>
        <w:rPr>
          <w:rFonts w:hint="eastAsia" w:ascii="仿宋" w:hAnsi="仿宋" w:eastAsia="仿宋" w:cs="仿宋"/>
          <w:sz w:val="28"/>
          <w:szCs w:val="28"/>
          <w:u w:val="single"/>
          <w:lang w:val="en-US" w:eastAsia="zh-CN"/>
        </w:rPr>
        <w:t>5222760446</w:t>
      </w:r>
    </w:p>
    <w:p>
      <w:pPr>
        <w:ind w:firstLine="560" w:firstLineChars="200"/>
        <w:rPr>
          <w:rFonts w:hint="eastAsia"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资料提供不全或者未按时间要求提报的将被拒绝接收，所提供的资质业绩文件中如有虚假情况，一经发现将被取消竞争资格。</w:t>
      </w:r>
    </w:p>
    <w:p>
      <w:pPr>
        <w:pStyle w:val="9"/>
        <w:numPr>
          <w:ilvl w:val="0"/>
          <w:numId w:val="2"/>
        </w:numPr>
        <w:rPr>
          <w:rFonts w:hint="eastAsia"/>
        </w:rPr>
      </w:pP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lang w:val="en-US" w:eastAsia="zh-CN" w:bidi="ar-SA"/>
        </w:rPr>
        <w:t>蒙牛集团电</w:t>
      </w:r>
      <w:r>
        <w:rPr>
          <w:rFonts w:hint="eastAsia" w:ascii="仿宋_GB2312" w:hAnsi="宋体" w:eastAsia="仿宋_GB2312" w:cs="Times New Roman"/>
          <w:kern w:val="2"/>
          <w:sz w:val="28"/>
          <w:szCs w:val="28"/>
          <w:lang w:val="en-US" w:eastAsia="zh-CN" w:bidi="ar-SA"/>
        </w:rPr>
        <w:t>子采购招标平台（</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"https://zbcg.mengniu.cn/" \l "/home" \t "_blank" </w:instrText>
      </w:r>
      <w:r>
        <w:rPr>
          <w:color w:val="000000" w:themeColor="text1"/>
          <w:highlight w:val="none"/>
          <w14:textFill>
            <w14:solidFill>
              <w14:schemeClr w14:val="tx1"/>
            </w14:solidFill>
          </w14:textFill>
        </w:rPr>
        <w:fldChar w:fldCharType="separate"/>
      </w:r>
      <w:r>
        <w:rPr>
          <w:rStyle w:val="12"/>
          <w:rFonts w:hint="eastAsia" w:ascii="微软雅黑" w:hAnsi="微软雅黑" w:eastAsia="微软雅黑"/>
          <w:color w:val="000000" w:themeColor="text1"/>
          <w:sz w:val="22"/>
          <w:szCs w:val="21"/>
          <w:highlight w:val="none"/>
          <w:shd w:val="clear" w:color="auto" w:fill="FFFFFF"/>
          <w14:textFill>
            <w14:solidFill>
              <w14:schemeClr w14:val="tx1"/>
            </w14:solidFill>
          </w14:textFill>
        </w:rPr>
        <w:t>https://zbcg.mengniu.cn/#/home</w:t>
      </w:r>
      <w:r>
        <w:rPr>
          <w:rStyle w:val="12"/>
          <w:rFonts w:hint="eastAsia" w:ascii="微软雅黑" w:hAnsi="微软雅黑" w:eastAsia="微软雅黑"/>
          <w:color w:val="000000" w:themeColor="text1"/>
          <w:sz w:val="22"/>
          <w:szCs w:val="21"/>
          <w:highlight w:val="none"/>
          <w:shd w:val="clear" w:color="auto" w:fill="FFFFFF"/>
          <w14:textFill>
            <w14:solidFill>
              <w14:schemeClr w14:val="tx1"/>
            </w14:solidFill>
          </w14:textFill>
        </w:rPr>
        <w:fldChar w:fldCharType="end"/>
      </w:r>
    </w:p>
    <w:p>
      <w:pPr>
        <w:ind w:firstLine="560" w:firstLineChars="200"/>
        <w:jc w:val="left"/>
        <w:rPr>
          <w:rFonts w:ascii="仿宋_GB2312" w:hAnsi="宋体" w:eastAsia="仿宋_GB2312" w:cs="仿宋"/>
          <w:color w:val="000000" w:themeColor="text1"/>
          <w:sz w:val="28"/>
          <w:szCs w:val="28"/>
          <w14:textFill>
            <w14:solidFill>
              <w14:schemeClr w14:val="tx1"/>
            </w14:solidFill>
          </w14:textFill>
        </w:rPr>
      </w:pPr>
      <w:r>
        <w:rPr>
          <w:rFonts w:hint="eastAsia" w:ascii="仿宋_GB2312" w:hAnsi="宋体" w:eastAsia="仿宋_GB2312" w:cs="仿宋"/>
          <w:color w:val="000000" w:themeColor="text1"/>
          <w:sz w:val="28"/>
          <w:szCs w:val="28"/>
          <w14:textFill>
            <w14:solidFill>
              <w14:schemeClr w14:val="tx1"/>
            </w14:solidFill>
          </w14:textFill>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numPr>
          <w:ilvl w:val="0"/>
          <w:numId w:val="0"/>
        </w:numPr>
        <w:ind w:firstLine="1400" w:firstLineChars="500"/>
        <w:jc w:val="left"/>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val="en-US" w:eastAsia="zh-CN"/>
        </w:rPr>
        <w:t>模板</w:t>
      </w:r>
    </w:p>
    <w:p>
      <w:pPr>
        <w:pStyle w:val="2"/>
        <w:rPr>
          <w:rFonts w:hint="eastAsia"/>
        </w:rPr>
      </w:pPr>
    </w:p>
    <w:p>
      <w:pPr>
        <w:ind w:right="1760"/>
        <w:jc w:val="right"/>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采购</w:t>
      </w:r>
      <w:r>
        <w:rPr>
          <w:rFonts w:hint="eastAsia" w:ascii="仿宋_GB2312" w:hAnsi="宋体" w:eastAsia="仿宋_GB2312" w:cs="仿宋"/>
          <w:sz w:val="30"/>
          <w:szCs w:val="30"/>
        </w:rPr>
        <w:t>方：</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rPr>
        <w:t xml:space="preserve"> 天津工厂电力容量改需量服务</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rPr>
          <w:rFonts w:hint="eastAsia" w:ascii="仿宋_GB2312" w:hAnsi="宋体" w:eastAsia="仿宋_GB2312"/>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ind w:firstLine="480" w:firstLineChars="2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天津工厂电力容量改需量服务项目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10"/>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92C3F"/>
    <w:multiLevelType w:val="singleLevel"/>
    <w:tmpl w:val="C6592C3F"/>
    <w:lvl w:ilvl="0" w:tentative="0">
      <w:start w:val="4"/>
      <w:numFmt w:val="chineseCounting"/>
      <w:suff w:val="nothing"/>
      <w:lvlText w:val="%1、"/>
      <w:lvlJc w:val="left"/>
      <w:rPr>
        <w:rFonts w:hint="eastAsia"/>
      </w:rPr>
    </w:lvl>
  </w:abstractNum>
  <w:abstractNum w:abstractNumId="1">
    <w:nsid w:val="F33A12BF"/>
    <w:multiLevelType w:val="singleLevel"/>
    <w:tmpl w:val="F33A12BF"/>
    <w:lvl w:ilvl="0" w:tentative="0">
      <w:start w:val="1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94E5430"/>
    <w:rsid w:val="1A74412B"/>
    <w:rsid w:val="1B2E354C"/>
    <w:rsid w:val="2BCA6741"/>
    <w:rsid w:val="36C26992"/>
    <w:rsid w:val="3DA212CB"/>
    <w:rsid w:val="48D02C23"/>
    <w:rsid w:val="49885819"/>
    <w:rsid w:val="53A21BCD"/>
    <w:rsid w:val="5F004DFD"/>
    <w:rsid w:val="5FF24A2D"/>
    <w:rsid w:val="65E735DD"/>
    <w:rsid w:val="67D363A2"/>
    <w:rsid w:val="693B5FAC"/>
    <w:rsid w:val="698067CB"/>
    <w:rsid w:val="6DB427D1"/>
    <w:rsid w:val="7DBE7175"/>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uiPriority w:val="0"/>
    <w:pPr>
      <w:spacing w:line="360" w:lineRule="auto"/>
      <w:ind w:firstLine="420"/>
    </w:pPr>
    <w:rPr>
      <w:szCs w:val="20"/>
    </w:rPr>
  </w:style>
  <w:style w:type="paragraph" w:styleId="5">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uiPriority w:val="0"/>
    <w:pPr>
      <w:ind w:left="720"/>
    </w:pPr>
    <w:rPr>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0"/>
    <w:pPr>
      <w:ind w:firstLine="420" w:firstLineChars="200"/>
    </w:pPr>
    <w:rPr>
      <w:rFonts w:ascii="Times New Roman"/>
    </w:rPr>
  </w:style>
  <w:style w:type="character" w:styleId="12">
    <w:name w:val="Hyperlink"/>
    <w:qFormat/>
    <w:uiPriority w:val="0"/>
    <w:rPr>
      <w:color w:val="0000FF"/>
      <w:u w:val="non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5531</Words>
  <Characters>5870</Characters>
  <Lines>21</Lines>
  <Paragraphs>6</Paragraphs>
  <TotalTime>5</TotalTime>
  <ScaleCrop>false</ScaleCrop>
  <LinksUpToDate>false</LinksUpToDate>
  <CharactersWithSpaces>6519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2023-07-05T06:58:55Z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524BCBFC35FA40C69CC22055420A1F2B</vt:lpwstr>
  </property>
</Properties>
</file>