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2023-2024年重客直营门店促销人员和活动执行项目</w:t>
      </w:r>
    </w:p>
    <w:p>
      <w:pPr>
        <w:widowControl/>
        <w:shd w:val="clear" w:color="auto" w:fill="FFFFFF"/>
        <w:snapToGrid w:val="0"/>
        <w:jc w:val="center"/>
        <w:rPr>
          <w:rFonts w:ascii="仿宋" w:hAnsi="仿宋" w:eastAsia="仿宋" w:cs="仿宋"/>
          <w:b/>
          <w:bCs/>
          <w:kern w:val="0"/>
          <w:sz w:val="32"/>
          <w:szCs w:val="32"/>
        </w:rPr>
      </w:pPr>
      <w:r>
        <w:rPr>
          <w:rFonts w:hint="eastAsia" w:ascii="仿宋" w:hAnsi="仿宋" w:eastAsia="仿宋" w:cs="仿宋"/>
          <w:b/>
          <w:bCs/>
          <w:kern w:val="0"/>
          <w:sz w:val="32"/>
          <w:szCs w:val="32"/>
        </w:rPr>
        <w:t>竞争性谈判信息公告</w:t>
      </w:r>
    </w:p>
    <w:p>
      <w:pPr>
        <w:widowControl/>
        <w:shd w:val="clear" w:color="auto" w:fill="FFFFFF"/>
        <w:snapToGrid w:val="0"/>
        <w:jc w:val="both"/>
        <w:rPr>
          <w:rFonts w:ascii="仿宋_GB2312" w:hAnsi="宋体" w:eastAsia="仿宋_GB2312" w:cs="宋体"/>
          <w:b/>
          <w:bCs/>
          <w:color w:val="FF0000"/>
          <w:kern w:val="0"/>
          <w:sz w:val="10"/>
          <w:szCs w:val="10"/>
        </w:rPr>
      </w:pPr>
    </w:p>
    <w:p>
      <w:pPr>
        <w:spacing w:line="360" w:lineRule="auto"/>
        <w:ind w:firstLine="480" w:firstLineChars="200"/>
        <w:rPr>
          <w:rFonts w:ascii="仿宋" w:hAnsi="仿宋" w:eastAsia="仿宋" w:cs="仿宋"/>
          <w:sz w:val="24"/>
        </w:rPr>
      </w:pPr>
      <w:r>
        <w:rPr>
          <w:rFonts w:hint="eastAsia" w:ascii="仿宋" w:hAnsi="仿宋" w:eastAsia="仿宋" w:cs="仿宋"/>
          <w:sz w:val="24"/>
        </w:rPr>
        <w:t>内蒙古华晟工程项目管理有限公司受</w:t>
      </w:r>
      <w:r>
        <w:rPr>
          <w:rFonts w:hint="eastAsia" w:ascii="仿宋" w:hAnsi="仿宋" w:eastAsia="仿宋" w:cs="仿宋"/>
          <w:sz w:val="24"/>
          <w:lang w:eastAsia="zh-CN"/>
        </w:rPr>
        <w:t>冰品事业部销售管理中心重点客户业务部</w:t>
      </w:r>
      <w:r>
        <w:rPr>
          <w:rFonts w:hint="eastAsia" w:ascii="仿宋" w:hAnsi="仿宋" w:eastAsia="仿宋" w:cs="仿宋"/>
          <w:sz w:val="24"/>
        </w:rPr>
        <w:t>委托，现对</w:t>
      </w:r>
      <w:r>
        <w:rPr>
          <w:rFonts w:hint="eastAsia" w:ascii="仿宋" w:hAnsi="仿宋" w:eastAsia="仿宋" w:cs="仿宋"/>
          <w:sz w:val="24"/>
          <w:lang w:eastAsia="zh-CN"/>
        </w:rPr>
        <w:t>2023-2024年重客直营门店促销人员和活动执行项目</w:t>
      </w:r>
      <w:r>
        <w:rPr>
          <w:rFonts w:hint="eastAsia" w:ascii="仿宋" w:hAnsi="仿宋" w:eastAsia="仿宋" w:cs="仿宋"/>
          <w:sz w:val="24"/>
        </w:rPr>
        <w:t>进行竞争性谈判, 欢迎符合资格条件的供应商参加。</w:t>
      </w:r>
    </w:p>
    <w:p>
      <w:pPr>
        <w:spacing w:line="360" w:lineRule="auto"/>
        <w:ind w:firstLine="482" w:firstLineChars="200"/>
        <w:rPr>
          <w:rFonts w:hint="eastAsia" w:ascii="仿宋" w:hAnsi="仿宋" w:eastAsia="仿宋" w:cs="仿宋"/>
          <w:sz w:val="24"/>
          <w:highlight w:val="none"/>
          <w:lang w:eastAsia="zh-CN"/>
        </w:rPr>
      </w:pPr>
      <w:r>
        <w:rPr>
          <w:rFonts w:hint="eastAsia" w:ascii="仿宋" w:hAnsi="仿宋" w:eastAsia="仿宋" w:cs="仿宋"/>
          <w:b/>
          <w:sz w:val="24"/>
          <w:highlight w:val="none"/>
        </w:rPr>
        <w:t>一、项目编号：MNCGJH-20230726-0024</w:t>
      </w:r>
    </w:p>
    <w:p>
      <w:pPr>
        <w:spacing w:line="360" w:lineRule="auto"/>
        <w:ind w:firstLine="482" w:firstLineChars="200"/>
        <w:rPr>
          <w:rFonts w:hint="eastAsia" w:ascii="仿宋" w:hAnsi="仿宋" w:eastAsia="仿宋" w:cs="仿宋"/>
          <w:sz w:val="24"/>
          <w:lang w:eastAsia="zh-CN"/>
        </w:rPr>
      </w:pPr>
      <w:r>
        <w:rPr>
          <w:rFonts w:hint="eastAsia" w:ascii="仿宋" w:hAnsi="仿宋" w:eastAsia="仿宋" w:cs="仿宋"/>
          <w:b/>
          <w:sz w:val="24"/>
        </w:rPr>
        <w:t>二、项目名称</w:t>
      </w:r>
      <w:r>
        <w:rPr>
          <w:rFonts w:hint="eastAsia" w:ascii="仿宋" w:hAnsi="仿宋" w:eastAsia="仿宋" w:cs="仿宋"/>
          <w:sz w:val="24"/>
        </w:rPr>
        <w:t>：</w:t>
      </w:r>
      <w:r>
        <w:rPr>
          <w:rFonts w:hint="eastAsia" w:ascii="仿宋" w:hAnsi="仿宋" w:eastAsia="仿宋" w:cs="仿宋"/>
          <w:kern w:val="0"/>
          <w:sz w:val="24"/>
          <w:lang w:eastAsia="zh-CN"/>
        </w:rPr>
        <w:t>2023-2024年重客直营门店促销人员和活动执行项目</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三、项目概况：</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由于直营业务板块的扩大，门店安排促销人员</w:t>
      </w:r>
      <w:r>
        <w:rPr>
          <w:rFonts w:hint="eastAsia" w:ascii="仿宋" w:hAnsi="仿宋" w:eastAsia="仿宋" w:cs="仿宋"/>
          <w:bCs/>
          <w:sz w:val="24"/>
          <w:lang w:val="en-US" w:eastAsia="zh-CN"/>
        </w:rPr>
        <w:t>为</w:t>
      </w:r>
      <w:r>
        <w:rPr>
          <w:rFonts w:hint="eastAsia" w:ascii="仿宋" w:hAnsi="仿宋" w:eastAsia="仿宋" w:cs="仿宋"/>
          <w:bCs/>
          <w:sz w:val="24"/>
        </w:rPr>
        <w:t>重点项目之一，以拉动门店销售，同时对于部分门店需求形象物料的支持</w:t>
      </w:r>
      <w:r>
        <w:rPr>
          <w:rFonts w:hint="eastAsia" w:ascii="仿宋" w:hAnsi="仿宋" w:eastAsia="仿宋" w:cs="仿宋"/>
          <w:bCs/>
          <w:sz w:val="24"/>
          <w:lang w:eastAsia="zh-CN"/>
        </w:rPr>
        <w:t>，</w:t>
      </w:r>
      <w:r>
        <w:rPr>
          <w:rFonts w:hint="eastAsia" w:ascii="仿宋" w:hAnsi="仿宋" w:eastAsia="仿宋" w:cs="仿宋"/>
          <w:bCs/>
          <w:sz w:val="24"/>
          <w:lang w:val="en-US" w:eastAsia="zh-CN"/>
        </w:rPr>
        <w:t>故选取</w:t>
      </w:r>
      <w:r>
        <w:rPr>
          <w:rFonts w:hint="eastAsia" w:ascii="仿宋" w:hAnsi="仿宋" w:eastAsia="仿宋" w:cs="仿宋"/>
          <w:bCs/>
          <w:sz w:val="24"/>
        </w:rPr>
        <w:t>可以承揽全国重点城市人员的招聘、培训、管理、合同签订、薪资发放等，其次也可以对于所需的店中店打造、冰柜装饰、户外推广活动、平面设计等相关事项、物料制作、搭建等</w:t>
      </w:r>
      <w:bookmarkStart w:id="1" w:name="_GoBack"/>
      <w:bookmarkEnd w:id="1"/>
      <w:r>
        <w:rPr>
          <w:rFonts w:hint="eastAsia" w:ascii="仿宋" w:hAnsi="仿宋" w:eastAsia="仿宋" w:cs="仿宋"/>
          <w:bCs/>
          <w:sz w:val="24"/>
        </w:rPr>
        <w:t>临时需求</w:t>
      </w:r>
      <w:r>
        <w:rPr>
          <w:rFonts w:hint="eastAsia" w:ascii="仿宋" w:hAnsi="仿宋" w:eastAsia="仿宋" w:cs="仿宋"/>
          <w:bCs/>
          <w:sz w:val="24"/>
          <w:lang w:val="en-US" w:eastAsia="zh-CN"/>
        </w:rPr>
        <w:t>的供应商</w:t>
      </w:r>
      <w:r>
        <w:rPr>
          <w:rFonts w:hint="eastAsia" w:ascii="仿宋" w:hAnsi="仿宋" w:eastAsia="仿宋" w:cs="仿宋"/>
          <w:bCs/>
          <w:sz w:val="24"/>
        </w:rPr>
        <w:t>。</w:t>
      </w:r>
    </w:p>
    <w:p>
      <w:pPr>
        <w:spacing w:line="360" w:lineRule="auto"/>
        <w:ind w:left="420" w:leftChars="200"/>
        <w:rPr>
          <w:rFonts w:ascii="仿宋" w:hAnsi="仿宋" w:eastAsia="仿宋" w:cs="仿宋"/>
          <w:b/>
          <w:sz w:val="24"/>
        </w:rPr>
      </w:pPr>
      <w:r>
        <w:rPr>
          <w:rFonts w:hint="eastAsia" w:ascii="仿宋" w:hAnsi="仿宋" w:eastAsia="仿宋" w:cs="仿宋"/>
          <w:b/>
          <w:sz w:val="24"/>
        </w:rPr>
        <w:t>四、资格要求：</w:t>
      </w:r>
    </w:p>
    <w:p>
      <w:pPr>
        <w:spacing w:line="360" w:lineRule="auto"/>
        <w:ind w:firstLine="480" w:firstLineChars="200"/>
        <w:jc w:val="left"/>
        <w:rPr>
          <w:rFonts w:ascii="仿宋" w:hAnsi="仿宋" w:eastAsia="仿宋" w:cs="仿宋"/>
          <w:bCs/>
          <w:sz w:val="24"/>
        </w:rPr>
      </w:pPr>
      <w:r>
        <w:rPr>
          <w:rFonts w:ascii="仿宋" w:hAnsi="仿宋" w:eastAsia="仿宋" w:cs="仿宋"/>
          <w:bCs/>
          <w:sz w:val="24"/>
        </w:rPr>
        <w:t>1</w:t>
      </w:r>
      <w:r>
        <w:rPr>
          <w:rFonts w:hint="eastAsia" w:ascii="仿宋" w:hAnsi="仿宋" w:eastAsia="仿宋" w:cs="仿宋"/>
          <w:bCs/>
          <w:sz w:val="24"/>
        </w:rPr>
        <w:t>、竞谈商必须是在中华人民共和国境内注册的具有独立法人资格的企业单位，注册资金</w:t>
      </w:r>
      <w:r>
        <w:rPr>
          <w:rFonts w:hint="eastAsia" w:ascii="仿宋" w:hAnsi="仿宋" w:eastAsia="仿宋" w:cs="仿宋"/>
          <w:bCs/>
          <w:sz w:val="24"/>
          <w:lang w:val="en-US" w:eastAsia="zh-CN"/>
        </w:rPr>
        <w:t>500</w:t>
      </w:r>
      <w:r>
        <w:rPr>
          <w:rFonts w:hint="eastAsia" w:ascii="仿宋" w:hAnsi="仿宋" w:eastAsia="仿宋" w:cs="仿宋"/>
          <w:bCs/>
          <w:sz w:val="24"/>
        </w:rPr>
        <w:t>万元人民币及以上（外币按注册时汇率计算），以企业营业执照为准；</w:t>
      </w:r>
    </w:p>
    <w:p>
      <w:pPr>
        <w:spacing w:line="360" w:lineRule="auto"/>
        <w:ind w:firstLine="480" w:firstLineChars="200"/>
        <w:jc w:val="left"/>
        <w:rPr>
          <w:rFonts w:hint="eastAsia" w:ascii="仿宋" w:hAnsi="仿宋" w:eastAsia="仿宋" w:cs="仿宋"/>
          <w:bCs/>
          <w:sz w:val="24"/>
        </w:rPr>
      </w:pPr>
      <w:r>
        <w:rPr>
          <w:rFonts w:ascii="仿宋" w:hAnsi="仿宋" w:eastAsia="仿宋" w:cs="仿宋"/>
          <w:bCs/>
          <w:sz w:val="24"/>
        </w:rPr>
        <w:t>2</w:t>
      </w:r>
      <w:r>
        <w:rPr>
          <w:rFonts w:hint="eastAsia" w:ascii="仿宋" w:hAnsi="仿宋" w:eastAsia="仿宋" w:cs="仿宋"/>
          <w:bCs/>
          <w:sz w:val="24"/>
        </w:rPr>
        <w:t>、竞谈人须具备一般纳税人资格；</w:t>
      </w:r>
    </w:p>
    <w:p>
      <w:pPr>
        <w:pStyle w:val="2"/>
        <w:spacing w:line="360" w:lineRule="auto"/>
        <w:rPr>
          <w:rFonts w:hint="default" w:ascii="仿宋" w:hAnsi="仿宋" w:eastAsia="仿宋" w:cs="仿宋"/>
          <w:bCs/>
          <w:sz w:val="24"/>
          <w:lang w:val="en-US" w:eastAsia="zh-CN"/>
        </w:rPr>
      </w:pPr>
      <w:r>
        <w:rPr>
          <w:rFonts w:hint="eastAsia" w:ascii="仿宋" w:hAnsi="仿宋" w:eastAsia="仿宋" w:cs="仿宋"/>
          <w:bCs/>
          <w:sz w:val="24"/>
          <w:lang w:val="en-US" w:eastAsia="zh-CN"/>
        </w:rPr>
        <w:t xml:space="preserve">3、 </w:t>
      </w:r>
      <w:r>
        <w:rPr>
          <w:rFonts w:hint="eastAsia" w:ascii="仿宋" w:hAnsi="仿宋" w:eastAsia="仿宋" w:cs="仿宋"/>
          <w:bCs/>
          <w:sz w:val="24"/>
        </w:rPr>
        <w:t>竞谈人须具备发货全国终端市场物流运作能力及设置专项客户服务团队(3人及以上)</w:t>
      </w:r>
      <w:r>
        <w:rPr>
          <w:rFonts w:hint="eastAsia" w:ascii="仿宋" w:hAnsi="仿宋" w:eastAsia="仿宋" w:cs="仿宋"/>
          <w:bCs/>
          <w:sz w:val="24"/>
          <w:lang w:eastAsia="zh-CN"/>
        </w:rPr>
        <w:t>；</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lang w:val="en-US" w:eastAsia="zh-CN"/>
        </w:rPr>
        <w:t>4</w:t>
      </w:r>
      <w:r>
        <w:rPr>
          <w:rFonts w:hint="eastAsia" w:ascii="仿宋" w:hAnsi="仿宋" w:eastAsia="仿宋" w:cs="仿宋"/>
          <w:bCs/>
          <w:sz w:val="24"/>
        </w:rPr>
        <w:t>、竞谈人近三年（2020年至今）须具有</w:t>
      </w:r>
      <w:r>
        <w:rPr>
          <w:rFonts w:hint="eastAsia" w:ascii="仿宋" w:hAnsi="仿宋" w:eastAsia="仿宋" w:cs="仿宋"/>
          <w:bCs/>
          <w:sz w:val="24"/>
          <w:lang w:val="en-US" w:eastAsia="zh-CN"/>
        </w:rPr>
        <w:t>1</w:t>
      </w:r>
      <w:r>
        <w:rPr>
          <w:rFonts w:hint="eastAsia" w:ascii="仿宋" w:hAnsi="仿宋" w:eastAsia="仿宋" w:cs="仿宋"/>
          <w:bCs/>
          <w:sz w:val="24"/>
        </w:rPr>
        <w:t>个及以上类似项目业绩（以合同为准）；</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lang w:val="en-US" w:eastAsia="zh-CN"/>
        </w:rPr>
        <w:t>5</w:t>
      </w:r>
      <w:r>
        <w:rPr>
          <w:rFonts w:hint="eastAsia" w:ascii="仿宋" w:hAnsi="仿宋" w:eastAsia="仿宋" w:cs="仿宋"/>
          <w:bCs/>
          <w:sz w:val="24"/>
        </w:rPr>
        <w:t>、竞谈人须具有良好的商业信誉和财务状况（2020年至2022年）以财务报表或财务审计报告为准）；</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lang w:val="en-US" w:eastAsia="zh-CN"/>
        </w:rPr>
        <w:t>6</w:t>
      </w:r>
      <w:r>
        <w:rPr>
          <w:rFonts w:hint="eastAsia" w:ascii="仿宋" w:hAnsi="仿宋" w:eastAsia="仿宋" w:cs="仿宋"/>
          <w:bCs/>
          <w:sz w:val="24"/>
        </w:rPr>
        <w:t>、竞谈人未被列入国家企业信用信息公示系统 （http://www.gsxt.gov.cn/index.html）严重违法失信企业名单；</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lang w:val="en-US" w:eastAsia="zh-CN"/>
        </w:rPr>
        <w:t>7</w:t>
      </w:r>
      <w:r>
        <w:rPr>
          <w:rFonts w:hint="eastAsia" w:ascii="仿宋" w:hAnsi="仿宋" w:eastAsia="仿宋" w:cs="仿宋"/>
          <w:bCs/>
          <w:sz w:val="24"/>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lang w:val="en-US" w:eastAsia="zh-CN"/>
        </w:rPr>
        <w:t>8</w:t>
      </w:r>
      <w:r>
        <w:rPr>
          <w:rFonts w:hint="eastAsia" w:ascii="仿宋" w:hAnsi="仿宋" w:eastAsia="仿宋" w:cs="仿宋"/>
          <w:bCs/>
          <w:sz w:val="24"/>
        </w:rPr>
        <w:t>、不接受中粮及蒙牛供应商黑名单（以蒙牛集团采购管理部下发的黑名单为准）的企业参与竞争；</w:t>
      </w:r>
    </w:p>
    <w:p>
      <w:pPr>
        <w:spacing w:line="360" w:lineRule="auto"/>
        <w:ind w:firstLine="480" w:firstLineChars="200"/>
        <w:jc w:val="left"/>
        <w:rPr>
          <w:rFonts w:ascii="仿宋" w:hAnsi="仿宋" w:eastAsia="仿宋" w:cs="仿宋"/>
          <w:bCs/>
          <w:sz w:val="24"/>
        </w:rPr>
      </w:pPr>
      <w:r>
        <w:rPr>
          <w:rFonts w:hint="eastAsia" w:ascii="仿宋" w:hAnsi="仿宋" w:eastAsia="仿宋" w:cs="仿宋"/>
          <w:bCs/>
          <w:sz w:val="24"/>
          <w:lang w:val="en-US" w:eastAsia="zh-CN"/>
        </w:rPr>
        <w:t>9</w:t>
      </w:r>
      <w:r>
        <w:rPr>
          <w:rFonts w:hint="eastAsia" w:ascii="仿宋" w:hAnsi="仿宋" w:eastAsia="仿宋" w:cs="仿宋"/>
          <w:bCs/>
          <w:sz w:val="24"/>
        </w:rPr>
        <w:t>、本次招标不接受联合体投标，不允许分包或转包。</w:t>
      </w:r>
    </w:p>
    <w:p>
      <w:pPr>
        <w:spacing w:line="360" w:lineRule="auto"/>
        <w:ind w:firstLine="482" w:firstLineChars="200"/>
        <w:jc w:val="left"/>
        <w:rPr>
          <w:rFonts w:ascii="仿宋" w:hAnsi="仿宋" w:eastAsia="仿宋" w:cs="仿宋"/>
          <w:b/>
          <w:i/>
          <w:color w:val="FF0000"/>
          <w:sz w:val="24"/>
        </w:rPr>
      </w:pPr>
      <w:r>
        <w:rPr>
          <w:rFonts w:hint="eastAsia" w:ascii="仿宋" w:hAnsi="仿宋" w:eastAsia="仿宋" w:cs="仿宋"/>
          <w:b/>
          <w:color w:val="000000"/>
          <w:sz w:val="24"/>
        </w:rPr>
        <w:t>五、报名须知</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1、报名资格文件按照如下要求提供：</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（1）提供有效的营业执照（副本）；</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（2）提供一般纳税人认定资格证明材料；</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（3）提供法定代表人证明书或授权委托书；</w:t>
      </w:r>
    </w:p>
    <w:p>
      <w:pPr>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备注：法定代表人须提供法人证明材料及身份证原件，若为被授权人须提供一份法人授权委托书和身份证原件及授权委托人近一年内在本单位的社保证明材料。</w:t>
      </w:r>
    </w:p>
    <w:p>
      <w:pPr>
        <w:pStyle w:val="2"/>
        <w:spacing w:line="360" w:lineRule="auto"/>
        <w:rPr>
          <w:rFonts w:hint="eastAsia" w:ascii="仿宋" w:hAnsi="仿宋" w:eastAsia="仿宋" w:cs="仿宋"/>
          <w:bCs/>
          <w:sz w:val="24"/>
          <w:lang w:eastAsia="zh-CN"/>
        </w:rPr>
      </w:pPr>
      <w:r>
        <w:rPr>
          <w:rFonts w:hint="eastAsia" w:ascii="仿宋" w:hAnsi="仿宋" w:eastAsia="仿宋" w:cs="仿宋"/>
          <w:bCs/>
          <w:sz w:val="24"/>
          <w:lang w:val="en-US" w:eastAsia="zh-CN"/>
        </w:rPr>
        <w:t xml:space="preserve">（4） </w:t>
      </w:r>
      <w:r>
        <w:rPr>
          <w:rFonts w:hint="eastAsia" w:ascii="仿宋" w:hAnsi="仿宋" w:eastAsia="仿宋" w:cs="仿宋"/>
          <w:bCs/>
          <w:sz w:val="24"/>
        </w:rPr>
        <w:t>竞谈人须具备发货全国终端市场物流运作能力及设置专项客户服务团队(3人及以上)</w:t>
      </w:r>
      <w:r>
        <w:rPr>
          <w:rFonts w:hint="eastAsia" w:ascii="仿宋" w:hAnsi="仿宋" w:eastAsia="仿宋" w:cs="仿宋"/>
          <w:bCs/>
          <w:sz w:val="24"/>
          <w:lang w:val="en-US" w:eastAsia="zh-CN"/>
        </w:rPr>
        <w:t>能力的承诺书</w:t>
      </w:r>
      <w:r>
        <w:rPr>
          <w:rFonts w:hint="eastAsia" w:ascii="仿宋" w:hAnsi="仿宋" w:eastAsia="仿宋" w:cs="仿宋"/>
          <w:bCs/>
          <w:sz w:val="24"/>
          <w:lang w:eastAsia="zh-CN"/>
        </w:rPr>
        <w:t>；</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5</w:t>
      </w:r>
      <w:r>
        <w:rPr>
          <w:rFonts w:hint="eastAsia" w:ascii="仿宋" w:hAnsi="仿宋" w:eastAsia="仿宋" w:cs="仿宋"/>
          <w:bCs/>
          <w:sz w:val="24"/>
        </w:rPr>
        <w:t>）提供本企业近三年（2020年至2022年）财务报表或第三方财务审计报告；</w:t>
      </w:r>
    </w:p>
    <w:p>
      <w:pPr>
        <w:spacing w:line="360" w:lineRule="auto"/>
        <w:ind w:firstLine="480" w:firstLineChars="200"/>
      </w:pPr>
      <w:r>
        <w:rPr>
          <w:rFonts w:hint="eastAsia" w:ascii="仿宋" w:hAnsi="仿宋" w:eastAsia="仿宋" w:cs="仿宋"/>
          <w:bCs/>
          <w:sz w:val="24"/>
        </w:rPr>
        <w:t>（</w:t>
      </w:r>
      <w:r>
        <w:rPr>
          <w:rFonts w:hint="eastAsia" w:ascii="仿宋" w:hAnsi="仿宋" w:eastAsia="仿宋" w:cs="仿宋"/>
          <w:bCs/>
          <w:sz w:val="24"/>
          <w:lang w:val="en-US" w:eastAsia="zh-CN"/>
        </w:rPr>
        <w:t>6</w:t>
      </w:r>
      <w:r>
        <w:rPr>
          <w:rFonts w:hint="eastAsia" w:ascii="仿宋" w:hAnsi="仿宋" w:eastAsia="仿宋" w:cs="仿宋"/>
          <w:bCs/>
          <w:sz w:val="24"/>
        </w:rPr>
        <w:t>）提供本企业（2020年至今）</w:t>
      </w:r>
      <w:r>
        <w:rPr>
          <w:rFonts w:hint="eastAsia" w:ascii="仿宋" w:hAnsi="仿宋" w:eastAsia="仿宋" w:cs="仿宋"/>
          <w:bCs/>
          <w:sz w:val="24"/>
          <w:lang w:val="en-US" w:eastAsia="zh-CN"/>
        </w:rPr>
        <w:t>1</w:t>
      </w:r>
      <w:r>
        <w:rPr>
          <w:rFonts w:hint="eastAsia" w:ascii="仿宋" w:hAnsi="仿宋" w:eastAsia="仿宋" w:cs="仿宋"/>
          <w:bCs/>
          <w:sz w:val="24"/>
        </w:rPr>
        <w:t>个及以上类似项目业绩的证明材料（以合同为准）。</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7</w:t>
      </w:r>
      <w:r>
        <w:rPr>
          <w:rFonts w:ascii="仿宋" w:hAnsi="仿宋" w:eastAsia="仿宋" w:cs="仿宋"/>
          <w:bCs/>
          <w:sz w:val="24"/>
        </w:rPr>
        <w:t>）</w:t>
      </w:r>
      <w:r>
        <w:rPr>
          <w:rFonts w:hint="eastAsia" w:ascii="仿宋" w:hAnsi="仿宋" w:eastAsia="仿宋" w:cs="仿宋"/>
          <w:bCs/>
          <w:sz w:val="24"/>
        </w:rPr>
        <w:t>提供未被列入国家企业信用信息公示系统（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bCs/>
          <w:sz w:val="24"/>
        </w:rPr>
        <w:t>http://www.gsxt.gov.cn/index.html）严重违法失信企业名单</w:t>
      </w:r>
      <w:r>
        <w:rPr>
          <w:rFonts w:hint="eastAsia" w:ascii="仿宋" w:hAnsi="仿宋" w:eastAsia="仿宋" w:cs="仿宋"/>
          <w:bCs/>
          <w:sz w:val="24"/>
        </w:rPr>
        <w:fldChar w:fldCharType="end"/>
      </w:r>
      <w:r>
        <w:rPr>
          <w:rFonts w:hint="eastAsia" w:ascii="仿宋" w:hAnsi="仿宋" w:eastAsia="仿宋" w:cs="仿宋"/>
          <w:bCs/>
          <w:sz w:val="24"/>
        </w:rPr>
        <w:t>证明材料。</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8</w:t>
      </w:r>
      <w:r>
        <w:rPr>
          <w:rFonts w:hint="eastAsia" w:ascii="仿宋" w:hAnsi="仿宋" w:eastAsia="仿宋" w:cs="仿宋"/>
          <w:bCs/>
          <w:sz w:val="24"/>
        </w:rPr>
        <w:t>）提供保密承诺书（附件2）；</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w:t>
      </w:r>
      <w:r>
        <w:rPr>
          <w:rFonts w:hint="eastAsia" w:ascii="仿宋" w:hAnsi="仿宋" w:eastAsia="仿宋" w:cs="仿宋"/>
          <w:bCs/>
          <w:sz w:val="24"/>
          <w:lang w:val="en-US" w:eastAsia="zh-CN"/>
        </w:rPr>
        <w:t>9</w:t>
      </w:r>
      <w:r>
        <w:rPr>
          <w:rFonts w:hint="eastAsia" w:ascii="仿宋" w:hAnsi="仿宋" w:eastAsia="仿宋" w:cs="仿宋"/>
          <w:bCs/>
          <w:sz w:val="24"/>
        </w:rPr>
        <w:t>）相关许可证书及其他资格要求文件（如有）。</w:t>
      </w:r>
      <w:r>
        <w:rPr>
          <w:rFonts w:ascii="仿宋" w:hAnsi="仿宋" w:eastAsia="仿宋" w:cs="仿宋"/>
          <w:bCs/>
          <w:sz w:val="24"/>
        </w:rPr>
        <w:tab/>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color w:val="000000"/>
          <w:sz w:val="24"/>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4"/>
        </w:rPr>
        <w:t>https://zbcg.mengniu.cn/#/home</w:t>
      </w:r>
      <w:r>
        <w:rPr>
          <w:rFonts w:hint="eastAsia" w:ascii="仿宋" w:hAnsi="仿宋" w:eastAsia="仿宋" w:cs="仿宋"/>
          <w:color w:val="000000"/>
          <w:sz w:val="24"/>
        </w:rPr>
        <w:fldChar w:fldCharType="end"/>
      </w:r>
      <w:r>
        <w:rPr>
          <w:rFonts w:hint="eastAsia" w:ascii="仿宋" w:hAnsi="仿宋" w:eastAsia="仿宋" w:cs="仿宋"/>
          <w:color w:val="000000"/>
          <w:sz w:val="24"/>
        </w:rPr>
        <w:t xml:space="preserve"> ）”</w:t>
      </w:r>
      <w:bookmarkEnd w:id="0"/>
      <w:r>
        <w:rPr>
          <w:rFonts w:hint="eastAsia" w:ascii="仿宋" w:hAnsi="仿宋" w:eastAsia="仿宋" w:cs="仿宋"/>
          <w:color w:val="000000"/>
          <w:sz w:val="24"/>
        </w:rPr>
        <w:t>进行线上提交，进行资格审查（过期提交不予受理），审查合格后方可购买谈判文件（仅作为发放谈判文件的依据）。</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资料提供不全或者未按时间要求提报的将被拒绝接收，所提供的资质、业绩文件中如有虚假情况，一经发现将被取消竞谈资格。</w:t>
      </w:r>
      <w:r>
        <w:rPr>
          <w:rFonts w:hint="eastAsia" w:ascii="仿宋" w:hAnsi="仿宋" w:eastAsia="仿宋" w:cs="仿宋"/>
          <w:color w:val="000000"/>
          <w:sz w:val="24"/>
        </w:rPr>
        <w:br w:type="textWrapping"/>
      </w:r>
      <w:r>
        <w:rPr>
          <w:rFonts w:hint="eastAsia" w:ascii="仿宋" w:hAnsi="仿宋" w:eastAsia="仿宋" w:cs="仿宋"/>
          <w:color w:val="000000"/>
          <w:sz w:val="24"/>
        </w:rPr>
        <w:t xml:space="preserve">    竞谈人自购买谈判文件之日起，应确保其向采购人或招标代理机构提供的通讯手段（电话、邮箱）一直有效，以保证往来函件能及时传达并及时反馈信息，否则由此引起的一切后果由竞谈人承担。</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报名方式：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spacing w:line="360" w:lineRule="auto"/>
        <w:ind w:firstLine="480" w:firstLineChars="200"/>
        <w:jc w:val="left"/>
        <w:rPr>
          <w:rFonts w:ascii="仿宋" w:hAnsi="仿宋" w:eastAsia="仿宋" w:cs="仿宋"/>
          <w:color w:val="FF0000"/>
          <w:sz w:val="24"/>
        </w:rPr>
      </w:pPr>
      <w:r>
        <w:rPr>
          <w:rFonts w:hint="eastAsia" w:ascii="仿宋" w:hAnsi="仿宋" w:eastAsia="仿宋" w:cs="仿宋"/>
          <w:color w:val="FF0000"/>
          <w:sz w:val="24"/>
        </w:rPr>
        <w:t xml:space="preserve">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 </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六、项目时间安排及要求：</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1、报名时间：2023年</w:t>
      </w:r>
      <w:r>
        <w:rPr>
          <w:rFonts w:hint="eastAsia" w:ascii="仿宋" w:hAnsi="仿宋" w:eastAsia="仿宋" w:cs="仿宋"/>
          <w:sz w:val="24"/>
          <w:highlight w:val="none"/>
          <w:lang w:val="en-US" w:eastAsia="zh-CN"/>
        </w:rPr>
        <w:t>07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28</w:t>
      </w:r>
      <w:r>
        <w:rPr>
          <w:rFonts w:hint="eastAsia" w:ascii="仿宋" w:hAnsi="仿宋" w:eastAsia="仿宋" w:cs="仿宋"/>
          <w:sz w:val="24"/>
          <w:highlight w:val="none"/>
        </w:rPr>
        <w:t>日至2023年</w:t>
      </w:r>
      <w:r>
        <w:rPr>
          <w:rFonts w:hint="eastAsia" w:ascii="仿宋" w:hAnsi="仿宋" w:eastAsia="仿宋" w:cs="仿宋"/>
          <w:sz w:val="24"/>
          <w:highlight w:val="none"/>
          <w:lang w:val="en-US" w:eastAsia="zh-CN"/>
        </w:rPr>
        <w:t>08</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01</w:t>
      </w:r>
      <w:r>
        <w:rPr>
          <w:rFonts w:hint="eastAsia" w:ascii="仿宋" w:hAnsi="仿宋" w:eastAsia="仿宋" w:cs="仿宋"/>
          <w:sz w:val="24"/>
          <w:highlight w:val="none"/>
        </w:rPr>
        <w:t>日；</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2、资格预审时间：2023年</w:t>
      </w:r>
      <w:r>
        <w:rPr>
          <w:rFonts w:hint="eastAsia" w:ascii="仿宋" w:hAnsi="仿宋" w:eastAsia="仿宋" w:cs="仿宋"/>
          <w:sz w:val="24"/>
          <w:highlight w:val="none"/>
          <w:lang w:val="en-US" w:eastAsia="zh-CN"/>
        </w:rPr>
        <w:t>07</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28</w:t>
      </w:r>
      <w:r>
        <w:rPr>
          <w:rFonts w:hint="eastAsia" w:ascii="仿宋" w:hAnsi="仿宋" w:eastAsia="仿宋" w:cs="仿宋"/>
          <w:sz w:val="24"/>
          <w:highlight w:val="none"/>
        </w:rPr>
        <w:t>日至2023年</w:t>
      </w:r>
      <w:r>
        <w:rPr>
          <w:rFonts w:hint="eastAsia" w:ascii="仿宋" w:hAnsi="仿宋" w:eastAsia="仿宋" w:cs="仿宋"/>
          <w:sz w:val="24"/>
          <w:highlight w:val="none"/>
          <w:lang w:val="en-US" w:eastAsia="zh-CN"/>
        </w:rPr>
        <w:t>08</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02</w:t>
      </w:r>
      <w:r>
        <w:rPr>
          <w:rFonts w:hint="eastAsia" w:ascii="仿宋" w:hAnsi="仿宋" w:eastAsia="仿宋" w:cs="仿宋"/>
          <w:sz w:val="24"/>
          <w:highlight w:val="none"/>
        </w:rPr>
        <w:t>日；</w:t>
      </w:r>
    </w:p>
    <w:p>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3、谈判文件发售时间：2023年</w:t>
      </w:r>
      <w:r>
        <w:rPr>
          <w:rFonts w:hint="eastAsia" w:ascii="仿宋" w:hAnsi="仿宋" w:eastAsia="仿宋" w:cs="仿宋"/>
          <w:sz w:val="24"/>
          <w:highlight w:val="none"/>
          <w:lang w:val="en-US" w:eastAsia="zh-CN"/>
        </w:rPr>
        <w:t>08</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03</w:t>
      </w:r>
      <w:r>
        <w:rPr>
          <w:rFonts w:hint="eastAsia" w:ascii="仿宋" w:hAnsi="仿宋" w:eastAsia="仿宋" w:cs="仿宋"/>
          <w:sz w:val="24"/>
          <w:highlight w:val="none"/>
        </w:rPr>
        <w:t>日至2023年</w:t>
      </w:r>
      <w:r>
        <w:rPr>
          <w:rFonts w:hint="eastAsia" w:ascii="仿宋" w:hAnsi="仿宋" w:eastAsia="仿宋" w:cs="仿宋"/>
          <w:sz w:val="24"/>
          <w:highlight w:val="none"/>
          <w:lang w:val="en-US" w:eastAsia="zh-CN"/>
        </w:rPr>
        <w:t>08</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日；</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4、谈判文件每套售价：人民币</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rPr>
        <w:t>00</w:t>
      </w:r>
      <w:r>
        <w:rPr>
          <w:rFonts w:hint="eastAsia" w:ascii="仿宋" w:hAnsi="仿宋" w:eastAsia="仿宋" w:cs="仿宋"/>
          <w:sz w:val="24"/>
          <w:highlight w:val="none"/>
        </w:rPr>
        <w:t>元</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仅支持对公转账</w:t>
      </w:r>
      <w:r>
        <w:rPr>
          <w:rFonts w:hint="eastAsia" w:ascii="仿宋" w:hAnsi="仿宋" w:eastAsia="仿宋" w:cs="仿宋"/>
          <w:sz w:val="24"/>
          <w:highlight w:val="none"/>
          <w:lang w:eastAsia="zh-CN"/>
        </w:rPr>
        <w:t>）</w:t>
      </w:r>
      <w:r>
        <w:rPr>
          <w:rFonts w:hint="eastAsia" w:ascii="仿宋" w:hAnsi="仿宋" w:eastAsia="仿宋" w:cs="仿宋"/>
          <w:sz w:val="24"/>
          <w:highlight w:val="none"/>
        </w:rPr>
        <w:t>，售后不退（汇款后将回执扫描后发联系人邮箱主题栏里写清楚项目名称）；</w:t>
      </w:r>
    </w:p>
    <w:p>
      <w:pPr>
        <w:spacing w:line="360" w:lineRule="auto"/>
        <w:ind w:firstLine="480" w:firstLineChars="200"/>
        <w:rPr>
          <w:rFonts w:ascii="仿宋" w:hAnsi="仿宋" w:eastAsia="仿宋" w:cs="仿宋"/>
          <w:sz w:val="24"/>
        </w:rPr>
      </w:pPr>
      <w:r>
        <w:rPr>
          <w:rFonts w:hint="eastAsia" w:ascii="仿宋" w:hAnsi="仿宋" w:eastAsia="仿宋" w:cs="仿宋"/>
          <w:color w:val="000000"/>
          <w:sz w:val="24"/>
        </w:rPr>
        <w:t>具体打款信息如下：</w:t>
      </w:r>
    </w:p>
    <w:p>
      <w:pPr>
        <w:spacing w:line="360" w:lineRule="auto"/>
        <w:ind w:firstLine="480" w:firstLineChars="200"/>
        <w:rPr>
          <w:rFonts w:ascii="仿宋" w:hAnsi="仿宋" w:eastAsia="仿宋" w:cs="仿宋"/>
          <w:sz w:val="24"/>
        </w:rPr>
      </w:pPr>
      <w:r>
        <w:rPr>
          <w:rFonts w:hint="eastAsia" w:ascii="仿宋" w:hAnsi="仿宋" w:eastAsia="仿宋" w:cs="仿宋"/>
          <w:sz w:val="24"/>
        </w:rPr>
        <w:t>开户银行: 兴业银行呼和浩特分行营业部</w:t>
      </w:r>
    </w:p>
    <w:p>
      <w:pPr>
        <w:spacing w:line="360" w:lineRule="auto"/>
        <w:ind w:firstLine="480" w:firstLineChars="200"/>
        <w:rPr>
          <w:rFonts w:ascii="仿宋" w:hAnsi="仿宋" w:eastAsia="仿宋" w:cs="仿宋"/>
          <w:sz w:val="24"/>
        </w:rPr>
      </w:pPr>
      <w:r>
        <w:rPr>
          <w:rFonts w:hint="eastAsia" w:ascii="仿宋" w:hAnsi="仿宋" w:eastAsia="仿宋" w:cs="仿宋"/>
          <w:sz w:val="24"/>
        </w:rPr>
        <w:t>收款单位: 内蒙古华晟工程项目管理有限公司</w:t>
      </w:r>
    </w:p>
    <w:p>
      <w:pPr>
        <w:spacing w:line="360" w:lineRule="auto"/>
        <w:ind w:firstLine="480" w:firstLineChars="200"/>
        <w:rPr>
          <w:rFonts w:ascii="仿宋" w:hAnsi="仿宋" w:eastAsia="仿宋" w:cs="仿宋"/>
          <w:sz w:val="24"/>
        </w:rPr>
      </w:pPr>
      <w:r>
        <w:rPr>
          <w:rFonts w:hint="eastAsia" w:ascii="仿宋" w:hAnsi="仿宋" w:eastAsia="仿宋" w:cs="仿宋"/>
          <w:sz w:val="24"/>
        </w:rPr>
        <w:t>银行账号：592010100100885229</w:t>
      </w:r>
    </w:p>
    <w:p>
      <w:pPr>
        <w:spacing w:line="360" w:lineRule="auto"/>
        <w:ind w:firstLine="480" w:firstLineChars="200"/>
        <w:rPr>
          <w:rFonts w:ascii="仿宋" w:hAnsi="仿宋" w:eastAsia="仿宋" w:cs="仿宋"/>
          <w:sz w:val="24"/>
        </w:rPr>
      </w:pPr>
      <w:r>
        <w:rPr>
          <w:rFonts w:hint="eastAsia" w:ascii="仿宋" w:hAnsi="仿宋" w:eastAsia="仿宋" w:cs="仿宋"/>
          <w:sz w:val="24"/>
        </w:rPr>
        <w:t>银行行号：309191002015</w:t>
      </w:r>
    </w:p>
    <w:p>
      <w:pPr>
        <w:spacing w:line="360" w:lineRule="auto"/>
        <w:ind w:firstLine="480" w:firstLineChars="200"/>
        <w:rPr>
          <w:rFonts w:ascii="仿宋" w:hAnsi="仿宋" w:eastAsia="仿宋" w:cs="仿宋"/>
          <w:color w:val="000000"/>
          <w:sz w:val="24"/>
        </w:rPr>
      </w:pPr>
      <w:r>
        <w:rPr>
          <w:rFonts w:hint="eastAsia" w:ascii="仿宋" w:hAnsi="仿宋" w:eastAsia="仿宋" w:cs="仿宋"/>
          <w:sz w:val="24"/>
        </w:rPr>
        <w:t>5、谈判时间</w:t>
      </w:r>
      <w:r>
        <w:rPr>
          <w:rFonts w:hint="eastAsia" w:ascii="仿宋" w:hAnsi="仿宋" w:eastAsia="仿宋" w:cs="仿宋"/>
          <w:sz w:val="24"/>
          <w:highlight w:val="none"/>
        </w:rPr>
        <w:t>：2023年</w:t>
      </w:r>
      <w:r>
        <w:rPr>
          <w:rFonts w:hint="eastAsia" w:ascii="仿宋" w:hAnsi="仿宋" w:eastAsia="仿宋" w:cs="仿宋"/>
          <w:sz w:val="24"/>
          <w:highlight w:val="none"/>
          <w:lang w:val="en-US" w:eastAsia="zh-CN"/>
        </w:rPr>
        <w:t>08</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15</w:t>
      </w:r>
      <w:r>
        <w:rPr>
          <w:rFonts w:hint="eastAsia" w:ascii="仿宋" w:hAnsi="仿宋" w:eastAsia="仿宋" w:cs="仿宋"/>
          <w:sz w:val="24"/>
          <w:highlight w:val="none"/>
        </w:rPr>
        <w:t>日9时3</w:t>
      </w:r>
      <w:r>
        <w:rPr>
          <w:rFonts w:ascii="仿宋" w:hAnsi="仿宋" w:eastAsia="仿宋" w:cs="仿宋"/>
          <w:sz w:val="24"/>
          <w:highlight w:val="none"/>
        </w:rPr>
        <w:t>0</w:t>
      </w:r>
      <w:r>
        <w:rPr>
          <w:rFonts w:hint="eastAsia" w:ascii="仿宋" w:hAnsi="仿宋" w:eastAsia="仿宋" w:cs="仿宋"/>
          <w:sz w:val="24"/>
          <w:highlight w:val="none"/>
        </w:rPr>
        <w:t>分</w:t>
      </w:r>
      <w:r>
        <w:rPr>
          <w:rFonts w:hint="eastAsia" w:ascii="仿宋" w:hAnsi="仿宋" w:eastAsia="仿宋" w:cs="仿宋"/>
          <w:sz w:val="24"/>
        </w:rPr>
        <w:t>（以发出的谈判文件为准）；</w:t>
      </w:r>
    </w:p>
    <w:p>
      <w:pPr>
        <w:spacing w:line="360" w:lineRule="auto"/>
        <w:ind w:firstLine="482" w:firstLineChars="200"/>
        <w:rPr>
          <w:rFonts w:ascii="仿宋" w:hAnsi="仿宋" w:eastAsia="仿宋" w:cs="仿宋"/>
          <w:color w:val="000000"/>
          <w:sz w:val="24"/>
        </w:rPr>
      </w:pPr>
      <w:r>
        <w:rPr>
          <w:rFonts w:hint="eastAsia" w:ascii="仿宋" w:hAnsi="仿宋" w:eastAsia="仿宋" w:cs="仿宋"/>
          <w:b/>
          <w:sz w:val="24"/>
        </w:rPr>
        <w:t>七、谈判地址：</w:t>
      </w:r>
      <w:r>
        <w:rPr>
          <w:rFonts w:hint="eastAsia" w:ascii="仿宋" w:hAnsi="仿宋" w:eastAsia="仿宋" w:cs="仿宋"/>
          <w:color w:val="000000"/>
          <w:sz w:val="24"/>
        </w:rPr>
        <w:t>蒙牛集团电子采购招标平台（https://zbcg.mengniu.cn/）（以发出的谈判文件为准）</w:t>
      </w:r>
    </w:p>
    <w:p>
      <w:pPr>
        <w:spacing w:line="360" w:lineRule="auto"/>
        <w:ind w:firstLine="482" w:firstLineChars="200"/>
        <w:rPr>
          <w:rFonts w:ascii="仿宋" w:hAnsi="仿宋" w:eastAsia="仿宋" w:cs="仿宋"/>
          <w:b/>
          <w:color w:val="FF0000"/>
          <w:sz w:val="24"/>
        </w:rPr>
      </w:pPr>
      <w:r>
        <w:rPr>
          <w:rFonts w:hint="eastAsia" w:ascii="仿宋" w:hAnsi="仿宋" w:eastAsia="仿宋" w:cs="仿宋"/>
          <w:b/>
          <w:color w:val="000000"/>
          <w:sz w:val="24"/>
        </w:rPr>
        <w:t>八、发布媒体：</w:t>
      </w:r>
    </w:p>
    <w:p>
      <w:pPr>
        <w:shd w:val="clear" w:color="auto" w:fill="FFFFFF"/>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蒙牛官网（http://www.mengniu.com.cn）及蒙牛内部平台</w:t>
      </w:r>
    </w:p>
    <w:p>
      <w:pPr>
        <w:shd w:val="clear" w:color="auto" w:fill="FFFFFF"/>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蒙牛集团电子招标采购交易平台（</w:t>
      </w:r>
      <w:r>
        <w:fldChar w:fldCharType="begin"/>
      </w:r>
      <w:r>
        <w:instrText xml:space="preserve"> HYPERLINK "https://……）" </w:instrText>
      </w:r>
      <w:r>
        <w:fldChar w:fldCharType="separate"/>
      </w:r>
      <w:r>
        <w:rPr>
          <w:rFonts w:hint="eastAsia" w:ascii="仿宋" w:hAnsi="仿宋" w:eastAsia="仿宋" w:cs="仿宋"/>
          <w:color w:val="000000"/>
          <w:sz w:val="24"/>
        </w:rPr>
        <w:t>https://zbcg.mengniu.cn）</w:t>
      </w:r>
      <w:r>
        <w:rPr>
          <w:rFonts w:hint="eastAsia" w:ascii="仿宋" w:hAnsi="仿宋" w:eastAsia="仿宋" w:cs="仿宋"/>
          <w:color w:val="000000"/>
          <w:sz w:val="24"/>
        </w:rPr>
        <w:fldChar w:fldCharType="end"/>
      </w:r>
    </w:p>
    <w:p>
      <w:pPr>
        <w:shd w:val="clear" w:color="auto" w:fill="FFFFFF"/>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此公告只在以上平台发布，其他任何媒体转载无效。</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九、采购招标实施方及联系方式：</w:t>
      </w:r>
    </w:p>
    <w:p>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采购方：</w:t>
      </w:r>
      <w:r>
        <w:rPr>
          <w:rFonts w:hint="eastAsia" w:ascii="仿宋" w:hAnsi="仿宋" w:eastAsia="仿宋" w:cs="仿宋"/>
          <w:sz w:val="24"/>
          <w:lang w:eastAsia="zh-CN"/>
        </w:rPr>
        <w:t>冰品事业部销售管理中心重点客户业务部</w:t>
      </w:r>
    </w:p>
    <w:p>
      <w:pPr>
        <w:spacing w:line="360" w:lineRule="auto"/>
        <w:ind w:firstLine="480" w:firstLineChars="200"/>
        <w:rPr>
          <w:rFonts w:ascii="仿宋" w:hAnsi="仿宋" w:eastAsia="仿宋" w:cs="仿宋"/>
          <w:sz w:val="24"/>
        </w:rPr>
      </w:pPr>
      <w:r>
        <w:rPr>
          <w:rFonts w:hint="eastAsia" w:ascii="仿宋" w:hAnsi="仿宋" w:eastAsia="仿宋" w:cs="仿宋"/>
          <w:sz w:val="24"/>
        </w:rPr>
        <w:t>业务咨询联系人：</w:t>
      </w:r>
      <w:r>
        <w:rPr>
          <w:rFonts w:hint="eastAsia" w:ascii="仿宋" w:hAnsi="仿宋" w:eastAsia="仿宋" w:cs="仿宋"/>
          <w:sz w:val="24"/>
          <w:lang w:val="en-US" w:eastAsia="zh-Hans"/>
        </w:rPr>
        <w:t>吕鑫宇</w:t>
      </w:r>
    </w:p>
    <w:p>
      <w:pPr>
        <w:spacing w:line="360" w:lineRule="auto"/>
        <w:ind w:firstLine="480" w:firstLineChars="200"/>
        <w:rPr>
          <w:rFonts w:hint="eastAsia" w:ascii="仿宋" w:hAnsi="仿宋" w:eastAsia="仿宋" w:cs="仿宋"/>
          <w:sz w:val="24"/>
          <w:lang w:eastAsia="zh-Hans"/>
        </w:rPr>
      </w:pPr>
      <w:r>
        <w:rPr>
          <w:rFonts w:hint="eastAsia" w:ascii="仿宋" w:hAnsi="仿宋" w:eastAsia="仿宋" w:cs="仿宋"/>
          <w:sz w:val="24"/>
        </w:rPr>
        <w:t>联系方式：17684869075</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十、代理机构及联系方式：</w:t>
      </w:r>
    </w:p>
    <w:p>
      <w:pPr>
        <w:spacing w:line="360" w:lineRule="auto"/>
        <w:ind w:firstLine="480" w:firstLineChars="200"/>
        <w:rPr>
          <w:rFonts w:ascii="仿宋" w:hAnsi="仿宋" w:eastAsia="仿宋" w:cs="仿宋"/>
          <w:sz w:val="24"/>
        </w:rPr>
      </w:pPr>
      <w:r>
        <w:rPr>
          <w:rFonts w:hint="eastAsia" w:ascii="仿宋" w:hAnsi="仿宋" w:eastAsia="仿宋" w:cs="仿宋"/>
          <w:sz w:val="24"/>
        </w:rPr>
        <w:t>招标代理机构：内蒙古华晟工程项目管理有限公司</w:t>
      </w:r>
    </w:p>
    <w:p>
      <w:pPr>
        <w:spacing w:line="360" w:lineRule="auto"/>
        <w:ind w:firstLine="480" w:firstLineChars="200"/>
        <w:rPr>
          <w:rFonts w:ascii="仿宋" w:hAnsi="仿宋" w:eastAsia="仿宋" w:cs="仿宋"/>
          <w:sz w:val="24"/>
        </w:rPr>
      </w:pPr>
      <w:r>
        <w:rPr>
          <w:rFonts w:hint="eastAsia" w:ascii="仿宋" w:hAnsi="仿宋" w:eastAsia="仿宋" w:cs="仿宋"/>
          <w:sz w:val="24"/>
        </w:rPr>
        <w:t>报名联系人：</w:t>
      </w:r>
      <w:r>
        <w:rPr>
          <w:rFonts w:hint="eastAsia" w:ascii="仿宋" w:hAnsi="仿宋" w:eastAsia="仿宋" w:cs="仿宋"/>
          <w:sz w:val="24"/>
          <w:lang w:val="en-US" w:eastAsia="zh-CN"/>
        </w:rPr>
        <w:t>李剑桥15124742393</w:t>
      </w:r>
      <w:r>
        <w:rPr>
          <w:rFonts w:hint="eastAsia" w:ascii="仿宋" w:hAnsi="仿宋" w:eastAsia="仿宋" w:cs="仿宋"/>
          <w:sz w:val="24"/>
        </w:rPr>
        <w:t>、郭宇飞13474917016</w:t>
      </w:r>
    </w:p>
    <w:p>
      <w:pPr>
        <w:spacing w:line="360" w:lineRule="auto"/>
        <w:ind w:firstLine="480" w:firstLineChars="200"/>
        <w:rPr>
          <w:rFonts w:ascii="仿宋" w:hAnsi="仿宋" w:eastAsia="仿宋" w:cs="仿宋"/>
          <w:sz w:val="24"/>
        </w:rPr>
      </w:pPr>
      <w:r>
        <w:rPr>
          <w:rFonts w:hint="eastAsia" w:ascii="仿宋" w:hAnsi="仿宋" w:eastAsia="仿宋" w:cs="仿宋"/>
          <w:sz w:val="24"/>
        </w:rPr>
        <w:t>联系电话：0471-3957849/4918085 分机号：8022</w:t>
      </w:r>
    </w:p>
    <w:p>
      <w:pPr>
        <w:spacing w:line="360" w:lineRule="auto"/>
        <w:ind w:firstLine="480" w:firstLineChars="200"/>
        <w:rPr>
          <w:rFonts w:ascii="仿宋" w:hAnsi="仿宋" w:eastAsia="仿宋" w:cs="仿宋"/>
          <w:sz w:val="24"/>
        </w:rPr>
      </w:pPr>
      <w:r>
        <w:rPr>
          <w:rFonts w:hint="eastAsia" w:ascii="仿宋" w:hAnsi="仿宋" w:eastAsia="仿宋" w:cs="仿宋"/>
          <w:sz w:val="24"/>
        </w:rPr>
        <w:t>电子邮箱：</w:t>
      </w:r>
      <w:r>
        <w:rPr>
          <w:rFonts w:hint="eastAsia" w:ascii="仿宋" w:hAnsi="仿宋" w:eastAsia="仿宋" w:cs="仿宋"/>
          <w:sz w:val="24"/>
          <w:lang w:val="en-US" w:eastAsia="zh-CN"/>
        </w:rPr>
        <w:t>lijianqiao</w:t>
      </w:r>
      <w:r>
        <w:rPr>
          <w:rFonts w:hint="eastAsia" w:ascii="仿宋" w:hAnsi="仿宋" w:eastAsia="仿宋" w:cs="仿宋"/>
          <w:sz w:val="24"/>
        </w:rPr>
        <w:t xml:space="preserve">@nmghuasheng.com       </w:t>
      </w:r>
    </w:p>
    <w:p>
      <w:pPr>
        <w:spacing w:line="360" w:lineRule="auto"/>
        <w:ind w:firstLine="480" w:firstLineChars="200"/>
        <w:rPr>
          <w:rFonts w:ascii="仿宋" w:hAnsi="仿宋" w:eastAsia="仿宋" w:cs="仿宋"/>
          <w:sz w:val="24"/>
        </w:rPr>
      </w:pPr>
      <w:r>
        <w:rPr>
          <w:rFonts w:hint="eastAsia" w:ascii="仿宋" w:hAnsi="仿宋" w:eastAsia="仿宋" w:cs="仿宋"/>
          <w:sz w:val="24"/>
        </w:rPr>
        <w:t>联系地址：内蒙古自治区呼和浩特市赛罕区锡林南路盈嘉国际综合楼27层</w:t>
      </w:r>
    </w:p>
    <w:p>
      <w:pPr>
        <w:spacing w:line="360" w:lineRule="auto"/>
        <w:ind w:firstLine="482" w:firstLineChars="200"/>
        <w:rPr>
          <w:rFonts w:ascii="仿宋" w:hAnsi="仿宋" w:eastAsia="仿宋" w:cs="仿宋"/>
          <w:b/>
          <w:sz w:val="24"/>
        </w:rPr>
      </w:pPr>
      <w:r>
        <w:rPr>
          <w:rFonts w:hint="eastAsia" w:ascii="仿宋" w:hAnsi="仿宋" w:eastAsia="仿宋" w:cs="仿宋"/>
          <w:b/>
          <w:sz w:val="24"/>
        </w:rPr>
        <w:t>十一、监督单位及联系方式：</w:t>
      </w:r>
    </w:p>
    <w:p>
      <w:pPr>
        <w:spacing w:line="360" w:lineRule="auto"/>
        <w:ind w:firstLine="480" w:firstLineChars="200"/>
        <w:rPr>
          <w:rFonts w:ascii="仿宋" w:hAnsi="仿宋" w:eastAsia="仿宋" w:cs="仿宋"/>
          <w:sz w:val="24"/>
        </w:rPr>
      </w:pPr>
      <w:r>
        <w:rPr>
          <w:rFonts w:hint="eastAsia" w:ascii="仿宋" w:hAnsi="仿宋" w:eastAsia="仿宋" w:cs="仿宋"/>
          <w:sz w:val="24"/>
        </w:rPr>
        <w:t>监督单位：内蒙古蒙牛乳业（集团）股份有限公司招投标管理部</w:t>
      </w:r>
    </w:p>
    <w:p>
      <w:pPr>
        <w:spacing w:line="360" w:lineRule="auto"/>
        <w:ind w:firstLine="480" w:firstLineChars="200"/>
        <w:rPr>
          <w:rFonts w:ascii="仿宋" w:hAnsi="仿宋" w:eastAsia="仿宋" w:cs="仿宋"/>
          <w:sz w:val="24"/>
        </w:rPr>
      </w:pPr>
      <w:r>
        <w:rPr>
          <w:rFonts w:hint="eastAsia" w:ascii="仿宋" w:hAnsi="仿宋" w:eastAsia="仿宋" w:cs="仿宋"/>
          <w:sz w:val="24"/>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4"/>
        </w:rPr>
        <w:t>https://zbcg.mengniu.cn/#/home</w:t>
      </w:r>
      <w:r>
        <w:rPr>
          <w:rFonts w:hint="eastAsia" w:ascii="仿宋" w:hAnsi="仿宋" w:eastAsia="仿宋" w:cs="仿宋"/>
          <w:sz w:val="24"/>
        </w:rPr>
        <w:fldChar w:fldCharType="end"/>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监 督 人:</w:t>
      </w:r>
      <w:r>
        <w:rPr>
          <w:rFonts w:hint="eastAsia"/>
          <w:highlight w:val="none"/>
        </w:rPr>
        <w:t xml:space="preserve"> </w:t>
      </w:r>
      <w:r>
        <w:rPr>
          <w:rFonts w:hint="eastAsia" w:ascii="仿宋" w:hAnsi="仿宋" w:eastAsia="仿宋" w:cs="仿宋"/>
          <w:sz w:val="24"/>
          <w:highlight w:val="none"/>
        </w:rPr>
        <w:t xml:space="preserve">葛明星                        </w:t>
      </w:r>
    </w:p>
    <w:p>
      <w:pPr>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联系方式：0471-7393642/</w:t>
      </w:r>
      <w:r>
        <w:rPr>
          <w:rFonts w:ascii="仿宋" w:hAnsi="仿宋" w:eastAsia="仿宋" w:cs="仿宋"/>
          <w:sz w:val="24"/>
          <w:highlight w:val="none"/>
        </w:rPr>
        <w:t>13074772262</w:t>
      </w:r>
    </w:p>
    <w:p>
      <w:pPr>
        <w:pStyle w:val="19"/>
        <w:ind w:firstLine="480" w:firstLineChars="200"/>
        <w:rPr>
          <w:rFonts w:ascii="仿宋" w:hAnsi="仿宋" w:eastAsia="仿宋" w:cs="仿宋"/>
          <w:sz w:val="24"/>
        </w:rPr>
      </w:pPr>
      <w:r>
        <w:rPr>
          <w:rFonts w:hint="eastAsia" w:eastAsia="仿宋"/>
          <w:highlight w:val="none"/>
        </w:rPr>
        <w:t>电子邮件：</w:t>
      </w:r>
      <w:r>
        <w:rPr>
          <w:rFonts w:hint="eastAsia" w:ascii="仿宋" w:hAnsi="仿宋" w:eastAsia="仿宋" w:cs="仿宋"/>
          <w:color w:val="auto"/>
          <w:kern w:val="2"/>
          <w:highlight w:val="none"/>
        </w:rPr>
        <w:t>gemingxing@mengniu.cn</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附件：1.潜在竞谈单位所报标段信息表</w:t>
      </w:r>
    </w:p>
    <w:p>
      <w:pPr>
        <w:spacing w:line="360" w:lineRule="auto"/>
        <w:ind w:firstLine="1200" w:firstLineChars="500"/>
      </w:pPr>
      <w:r>
        <w:rPr>
          <w:rFonts w:hint="eastAsia" w:ascii="仿宋" w:hAnsi="仿宋" w:eastAsia="仿宋" w:cs="仿宋"/>
          <w:sz w:val="24"/>
        </w:rPr>
        <w:t>2.保密承诺书</w:t>
      </w:r>
    </w:p>
    <w:p>
      <w:pPr>
        <w:pStyle w:val="19"/>
      </w:pPr>
      <w:r>
        <w:rPr>
          <w:rFonts w:hint="eastAsia" w:ascii="仿宋" w:hAnsi="仿宋" w:eastAsia="仿宋" w:cs="仿宋"/>
        </w:rPr>
        <w:t xml:space="preserve">        </w:t>
      </w:r>
    </w:p>
    <w:p>
      <w:pPr>
        <w:spacing w:line="360" w:lineRule="auto"/>
        <w:ind w:firstLine="480" w:firstLineChars="200"/>
        <w:rPr>
          <w:rFonts w:ascii="仿宋" w:hAnsi="仿宋" w:eastAsia="仿宋" w:cs="仿宋"/>
          <w:sz w:val="24"/>
        </w:rPr>
      </w:pPr>
    </w:p>
    <w:p>
      <w:pPr>
        <w:pStyle w:val="19"/>
      </w:pPr>
    </w:p>
    <w:p>
      <w:pPr>
        <w:spacing w:line="360" w:lineRule="auto"/>
        <w:ind w:firstLine="480" w:firstLineChars="200"/>
        <w:jc w:val="right"/>
        <w:rPr>
          <w:rFonts w:hint="eastAsia" w:ascii="仿宋" w:hAnsi="仿宋" w:eastAsia="仿宋" w:cs="仿宋"/>
          <w:sz w:val="24"/>
          <w:lang w:eastAsia="zh-CN"/>
        </w:rPr>
      </w:pPr>
      <w:r>
        <w:rPr>
          <w:rFonts w:hint="eastAsia" w:ascii="仿宋" w:hAnsi="仿宋" w:eastAsia="仿宋" w:cs="仿宋"/>
          <w:sz w:val="24"/>
        </w:rPr>
        <w:t>采购方：</w:t>
      </w:r>
      <w:r>
        <w:rPr>
          <w:rFonts w:hint="eastAsia" w:ascii="仿宋" w:hAnsi="仿宋" w:eastAsia="仿宋" w:cs="仿宋"/>
          <w:sz w:val="24"/>
          <w:lang w:eastAsia="zh-CN"/>
        </w:rPr>
        <w:t>冰品事业部销售管理中心重点客户业务部</w:t>
      </w:r>
    </w:p>
    <w:p>
      <w:pPr>
        <w:spacing w:line="360" w:lineRule="auto"/>
        <w:ind w:firstLine="480" w:firstLineChars="200"/>
        <w:jc w:val="right"/>
        <w:rPr>
          <w:rFonts w:ascii="仿宋" w:hAnsi="仿宋" w:eastAsia="仿宋" w:cs="仿宋"/>
          <w:sz w:val="24"/>
        </w:rPr>
      </w:pPr>
      <w:r>
        <w:rPr>
          <w:rFonts w:hint="eastAsia" w:ascii="仿宋" w:hAnsi="仿宋" w:eastAsia="仿宋" w:cs="仿宋"/>
          <w:sz w:val="24"/>
        </w:rPr>
        <w:t>招标代理机构：内蒙古华晟工程项目管理有限公司</w:t>
      </w:r>
    </w:p>
    <w:p>
      <w:pPr>
        <w:spacing w:line="360" w:lineRule="auto"/>
        <w:ind w:firstLine="480" w:firstLineChars="200"/>
        <w:jc w:val="right"/>
        <w:rPr>
          <w:rFonts w:ascii="仿宋" w:hAnsi="仿宋" w:eastAsia="仿宋" w:cs="仿宋"/>
          <w:sz w:val="24"/>
        </w:rPr>
      </w:pPr>
      <w:r>
        <w:rPr>
          <w:rFonts w:hint="eastAsia" w:ascii="仿宋" w:hAnsi="仿宋" w:eastAsia="仿宋" w:cs="仿宋"/>
          <w:sz w:val="24"/>
        </w:rPr>
        <w:t>2023年</w:t>
      </w:r>
      <w:r>
        <w:rPr>
          <w:rFonts w:ascii="仿宋" w:hAnsi="仿宋" w:eastAsia="仿宋" w:cs="仿宋"/>
          <w:sz w:val="24"/>
        </w:rPr>
        <w:t>7</w:t>
      </w:r>
      <w:r>
        <w:rPr>
          <w:rFonts w:hint="eastAsia" w:ascii="仿宋" w:hAnsi="仿宋" w:eastAsia="仿宋" w:cs="仿宋"/>
          <w:sz w:val="24"/>
        </w:rPr>
        <w:t>月</w:t>
      </w:r>
      <w:r>
        <w:rPr>
          <w:rFonts w:hint="eastAsia" w:ascii="仿宋" w:hAnsi="仿宋" w:eastAsia="仿宋" w:cs="仿宋"/>
          <w:sz w:val="24"/>
          <w:lang w:val="en-US" w:eastAsia="zh-CN"/>
        </w:rPr>
        <w:t>27</w:t>
      </w:r>
      <w:r>
        <w:rPr>
          <w:rFonts w:hint="eastAsia" w:ascii="仿宋" w:hAnsi="仿宋" w:eastAsia="仿宋" w:cs="仿宋"/>
          <w:sz w:val="24"/>
        </w:rPr>
        <w:t>日</w:t>
      </w:r>
    </w:p>
    <w:p>
      <w:pPr>
        <w:spacing w:line="360" w:lineRule="auto"/>
        <w:ind w:firstLine="480" w:firstLineChars="200"/>
        <w:jc w:val="left"/>
        <w:rPr>
          <w:rFonts w:ascii="仿宋" w:hAnsi="仿宋" w:eastAsia="仿宋" w:cs="仿宋"/>
          <w:sz w:val="24"/>
        </w:rPr>
      </w:pPr>
    </w:p>
    <w:p>
      <w:pPr>
        <w:spacing w:line="360" w:lineRule="auto"/>
        <w:jc w:val="left"/>
        <w:rPr>
          <w:rFonts w:ascii="仿宋" w:hAnsi="仿宋" w:eastAsia="仿宋" w:cs="仿宋"/>
          <w:sz w:val="24"/>
        </w:rPr>
      </w:pPr>
    </w:p>
    <w:p>
      <w:pPr>
        <w:rPr>
          <w:rFonts w:ascii="仿宋" w:hAnsi="仿宋" w:eastAsia="仿宋" w:cs="仿宋"/>
          <w:sz w:val="24"/>
        </w:rPr>
      </w:pPr>
      <w:r>
        <w:rPr>
          <w:rFonts w:hint="eastAsia" w:ascii="仿宋" w:hAnsi="仿宋" w:eastAsia="仿宋" w:cs="仿宋"/>
          <w:sz w:val="24"/>
        </w:rPr>
        <w:br w:type="page"/>
      </w:r>
    </w:p>
    <w:p>
      <w:pPr>
        <w:spacing w:line="360" w:lineRule="auto"/>
        <w:jc w:val="left"/>
        <w:rPr>
          <w:rFonts w:ascii="仿宋" w:hAnsi="仿宋" w:eastAsia="仿宋" w:cs="仿宋"/>
          <w:sz w:val="24"/>
        </w:rPr>
      </w:pPr>
      <w:r>
        <w:rPr>
          <w:rFonts w:hint="eastAsia" w:ascii="仿宋" w:hAnsi="仿宋" w:eastAsia="仿宋" w:cs="仿宋"/>
          <w:sz w:val="24"/>
        </w:rPr>
        <w:t>附件1：</w:t>
      </w:r>
    </w:p>
    <w:p>
      <w:pPr>
        <w:spacing w:line="360" w:lineRule="auto"/>
        <w:ind w:firstLine="482" w:firstLineChars="200"/>
        <w:jc w:val="center"/>
        <w:rPr>
          <w:rFonts w:ascii="仿宋" w:hAnsi="仿宋" w:eastAsia="仿宋" w:cs="仿宋"/>
          <w:b/>
          <w:sz w:val="24"/>
        </w:rPr>
      </w:pPr>
      <w:r>
        <w:rPr>
          <w:rFonts w:hint="eastAsia" w:ascii="仿宋" w:hAnsi="仿宋" w:eastAsia="仿宋" w:cs="仿宋"/>
          <w:b/>
          <w:sz w:val="24"/>
        </w:rPr>
        <w:t>潜在竞谈单位报名信息表</w:t>
      </w:r>
    </w:p>
    <w:tbl>
      <w:tblPr>
        <w:tblStyle w:val="1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序号</w:t>
            </w:r>
          </w:p>
        </w:tc>
        <w:tc>
          <w:tcPr>
            <w:tcW w:w="2399"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潜在竞谈单位名称</w:t>
            </w:r>
          </w:p>
        </w:tc>
        <w:tc>
          <w:tcPr>
            <w:tcW w:w="1630"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标段</w:t>
            </w:r>
          </w:p>
        </w:tc>
        <w:tc>
          <w:tcPr>
            <w:tcW w:w="1538"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联系人</w:t>
            </w:r>
          </w:p>
        </w:tc>
        <w:tc>
          <w:tcPr>
            <w:tcW w:w="1713"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联系电话</w:t>
            </w:r>
          </w:p>
        </w:tc>
        <w:tc>
          <w:tcPr>
            <w:tcW w:w="1856"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spacing w:line="360" w:lineRule="auto"/>
              <w:jc w:val="left"/>
              <w:rPr>
                <w:rFonts w:ascii="仿宋" w:hAnsi="仿宋" w:eastAsia="仿宋" w:cs="仿宋"/>
                <w:szCs w:val="21"/>
              </w:rPr>
            </w:pPr>
          </w:p>
        </w:tc>
        <w:tc>
          <w:tcPr>
            <w:tcW w:w="2399" w:type="dxa"/>
          </w:tcPr>
          <w:p>
            <w:pPr>
              <w:spacing w:line="360" w:lineRule="auto"/>
              <w:jc w:val="left"/>
              <w:rPr>
                <w:rFonts w:ascii="仿宋" w:hAnsi="仿宋" w:eastAsia="仿宋" w:cs="仿宋"/>
                <w:szCs w:val="21"/>
              </w:rPr>
            </w:pPr>
          </w:p>
        </w:tc>
        <w:tc>
          <w:tcPr>
            <w:tcW w:w="1630" w:type="dxa"/>
          </w:tcPr>
          <w:p>
            <w:pPr>
              <w:spacing w:line="360" w:lineRule="auto"/>
              <w:jc w:val="left"/>
              <w:rPr>
                <w:rFonts w:ascii="仿宋" w:hAnsi="仿宋" w:eastAsia="仿宋" w:cs="仿宋"/>
                <w:szCs w:val="21"/>
              </w:rPr>
            </w:pPr>
          </w:p>
        </w:tc>
        <w:tc>
          <w:tcPr>
            <w:tcW w:w="1538" w:type="dxa"/>
          </w:tcPr>
          <w:p>
            <w:pPr>
              <w:spacing w:line="360" w:lineRule="auto"/>
              <w:jc w:val="left"/>
              <w:rPr>
                <w:rFonts w:ascii="仿宋" w:hAnsi="仿宋" w:eastAsia="仿宋" w:cs="仿宋"/>
                <w:szCs w:val="21"/>
              </w:rPr>
            </w:pPr>
          </w:p>
        </w:tc>
        <w:tc>
          <w:tcPr>
            <w:tcW w:w="1713" w:type="dxa"/>
          </w:tcPr>
          <w:p>
            <w:pPr>
              <w:spacing w:line="360" w:lineRule="auto"/>
              <w:jc w:val="left"/>
              <w:rPr>
                <w:rFonts w:ascii="仿宋" w:hAnsi="仿宋" w:eastAsia="仿宋" w:cs="仿宋"/>
                <w:szCs w:val="21"/>
              </w:rPr>
            </w:pPr>
          </w:p>
        </w:tc>
        <w:tc>
          <w:tcPr>
            <w:tcW w:w="1856" w:type="dxa"/>
          </w:tcPr>
          <w:p>
            <w:pPr>
              <w:spacing w:line="360" w:lineRule="auto"/>
              <w:jc w:val="left"/>
              <w:rPr>
                <w:rFonts w:ascii="仿宋" w:hAnsi="仿宋" w:eastAsia="仿宋" w:cs="仿宋"/>
                <w:szCs w:val="21"/>
              </w:rPr>
            </w:pPr>
          </w:p>
        </w:tc>
      </w:tr>
    </w:tbl>
    <w:p>
      <w:pPr>
        <w:spacing w:line="440" w:lineRule="exact"/>
        <w:rPr>
          <w:rFonts w:ascii="仿宋" w:hAnsi="仿宋" w:eastAsia="仿宋" w:cs="仿宋"/>
          <w:sz w:val="24"/>
        </w:rPr>
      </w:pPr>
    </w:p>
    <w:p>
      <w:pPr>
        <w:spacing w:line="440" w:lineRule="exact"/>
        <w:rPr>
          <w:rFonts w:ascii="仿宋" w:hAnsi="仿宋" w:eastAsia="仿宋" w:cs="仿宋"/>
          <w:sz w:val="24"/>
        </w:rPr>
      </w:pPr>
      <w:r>
        <w:rPr>
          <w:rFonts w:hint="eastAsia" w:ascii="仿宋" w:hAnsi="仿宋" w:eastAsia="仿宋" w:cs="仿宋"/>
          <w:sz w:val="24"/>
        </w:rPr>
        <w:t>附件2：</w:t>
      </w:r>
    </w:p>
    <w:p>
      <w:pPr>
        <w:widowControl/>
        <w:adjustRightInd w:val="0"/>
        <w:snapToGrid w:val="0"/>
        <w:spacing w:line="440" w:lineRule="exact"/>
        <w:jc w:val="center"/>
        <w:textAlignment w:val="baseline"/>
        <w:rPr>
          <w:rFonts w:ascii="仿宋" w:hAnsi="仿宋" w:eastAsia="仿宋" w:cs="仿宋"/>
          <w:b/>
          <w:kern w:val="0"/>
          <w:sz w:val="24"/>
        </w:rPr>
      </w:pPr>
      <w:r>
        <w:rPr>
          <w:rFonts w:hint="eastAsia" w:ascii="仿宋" w:hAnsi="仿宋" w:eastAsia="仿宋" w:cs="仿宋"/>
          <w:b/>
          <w:kern w:val="0"/>
          <w:sz w:val="24"/>
        </w:rPr>
        <w:t>保密承诺书</w:t>
      </w:r>
    </w:p>
    <w:p>
      <w:pPr>
        <w:widowControl/>
        <w:adjustRightInd w:val="0"/>
        <w:snapToGrid w:val="0"/>
        <w:spacing w:line="440" w:lineRule="exact"/>
        <w:ind w:firstLine="480" w:firstLineChars="200"/>
        <w:jc w:val="left"/>
        <w:textAlignment w:val="baseline"/>
        <w:rPr>
          <w:rFonts w:hint="eastAsia" w:ascii="仿宋" w:hAnsi="仿宋" w:eastAsia="仿宋" w:cs="仿宋"/>
          <w:sz w:val="24"/>
          <w:lang w:eastAsia="zh-CN"/>
        </w:rPr>
      </w:pPr>
      <w:r>
        <w:rPr>
          <w:rFonts w:hint="eastAsia" w:ascii="仿宋" w:hAnsi="仿宋" w:eastAsia="仿宋" w:cs="仿宋"/>
          <w:color w:val="000000"/>
          <w:kern w:val="0"/>
          <w:sz w:val="24"/>
        </w:rPr>
        <w:t>甲方：</w:t>
      </w:r>
      <w:r>
        <w:rPr>
          <w:rFonts w:hint="eastAsia" w:ascii="仿宋" w:hAnsi="仿宋" w:eastAsia="仿宋" w:cs="仿宋"/>
          <w:sz w:val="24"/>
          <w:lang w:eastAsia="zh-CN"/>
        </w:rPr>
        <w:t>冰品事业部销售管理中心重点客户业务部</w:t>
      </w:r>
    </w:p>
    <w:p>
      <w:pPr>
        <w:widowControl/>
        <w:adjustRightInd w:val="0"/>
        <w:snapToGrid w:val="0"/>
        <w:spacing w:line="440" w:lineRule="exact"/>
        <w:ind w:firstLine="480" w:firstLineChars="200"/>
        <w:jc w:val="left"/>
        <w:textAlignment w:val="baseline"/>
        <w:rPr>
          <w:rFonts w:ascii="仿宋" w:hAnsi="仿宋" w:eastAsia="仿宋" w:cs="仿宋"/>
          <w:color w:val="000000"/>
          <w:kern w:val="0"/>
          <w:sz w:val="24"/>
        </w:rPr>
      </w:pPr>
      <w:r>
        <w:rPr>
          <w:rFonts w:hint="eastAsia" w:ascii="仿宋" w:hAnsi="仿宋" w:eastAsia="仿宋" w:cs="仿宋"/>
          <w:color w:val="000000"/>
          <w:kern w:val="0"/>
          <w:sz w:val="24"/>
        </w:rPr>
        <w:t>地址：</w:t>
      </w:r>
    </w:p>
    <w:p>
      <w:pPr>
        <w:widowControl/>
        <w:adjustRightInd w:val="0"/>
        <w:snapToGrid w:val="0"/>
        <w:spacing w:line="440" w:lineRule="exact"/>
        <w:ind w:firstLine="480" w:firstLineChars="200"/>
        <w:jc w:val="left"/>
        <w:textAlignment w:val="baseline"/>
        <w:rPr>
          <w:rFonts w:ascii="仿宋" w:hAnsi="仿宋" w:eastAsia="仿宋" w:cs="仿宋"/>
          <w:color w:val="000000"/>
          <w:kern w:val="0"/>
          <w:sz w:val="24"/>
        </w:rPr>
      </w:pPr>
      <w:r>
        <w:rPr>
          <w:rFonts w:hint="eastAsia" w:ascii="仿宋" w:hAnsi="仿宋" w:eastAsia="仿宋" w:cs="仿宋"/>
          <w:color w:val="000000"/>
          <w:kern w:val="0"/>
          <w:sz w:val="24"/>
        </w:rPr>
        <w:t>乙方（承诺方）：</w:t>
      </w:r>
    </w:p>
    <w:p>
      <w:pPr>
        <w:widowControl/>
        <w:adjustRightInd w:val="0"/>
        <w:snapToGrid w:val="0"/>
        <w:spacing w:line="440" w:lineRule="exact"/>
        <w:ind w:firstLine="480" w:firstLineChars="200"/>
        <w:jc w:val="left"/>
        <w:textAlignment w:val="baseline"/>
        <w:rPr>
          <w:rFonts w:ascii="仿宋" w:hAnsi="仿宋" w:eastAsia="仿宋" w:cs="仿宋"/>
          <w:color w:val="000000"/>
          <w:kern w:val="0"/>
          <w:sz w:val="24"/>
        </w:rPr>
      </w:pPr>
      <w:r>
        <w:rPr>
          <w:rFonts w:hint="eastAsia" w:ascii="仿宋" w:hAnsi="仿宋" w:eastAsia="仿宋" w:cs="仿宋"/>
          <w:color w:val="000000"/>
          <w:kern w:val="0"/>
          <w:sz w:val="24"/>
        </w:rPr>
        <w:t>地址：</w:t>
      </w:r>
    </w:p>
    <w:p>
      <w:pPr>
        <w:widowControl/>
        <w:adjustRightInd w:val="0"/>
        <w:snapToGrid w:val="0"/>
        <w:spacing w:line="440" w:lineRule="exact"/>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甲乙双方就</w:t>
      </w:r>
      <w:r>
        <w:rPr>
          <w:rFonts w:hint="eastAsia" w:ascii="仿宋" w:hAnsi="仿宋" w:eastAsia="仿宋" w:cs="仿宋"/>
          <w:color w:val="000000"/>
          <w:kern w:val="0"/>
          <w:sz w:val="24"/>
          <w:u w:val="single"/>
          <w:lang w:eastAsia="zh-CN"/>
        </w:rPr>
        <w:t>2023-2024年重客直营门店促销人员和活动执行项目</w:t>
      </w:r>
      <w:r>
        <w:rPr>
          <w:rFonts w:hint="eastAsia" w:ascii="仿宋" w:hAnsi="仿宋" w:eastAsia="仿宋" w:cs="仿宋"/>
          <w:color w:val="000000"/>
          <w:kern w:val="0"/>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440" w:lineRule="exact"/>
        <w:ind w:firstLine="482" w:firstLineChars="200"/>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一、定义</w:t>
      </w:r>
    </w:p>
    <w:p>
      <w:pPr>
        <w:widowControl/>
        <w:adjustRightInd w:val="0"/>
        <w:snapToGrid w:val="0"/>
        <w:spacing w:line="440" w:lineRule="exact"/>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（一）由乙方以书面文件证明：该等信息已于披露之前已由乙方所持有；</w:t>
      </w:r>
    </w:p>
    <w:p>
      <w:pPr>
        <w:widowControl/>
        <w:adjustRightInd w:val="0"/>
        <w:snapToGrid w:val="0"/>
        <w:spacing w:line="440" w:lineRule="exact"/>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（二）已公开发表或非因乙方作为或不作为的原因，已向公众披露；</w:t>
      </w:r>
    </w:p>
    <w:p>
      <w:pPr>
        <w:widowControl/>
        <w:adjustRightInd w:val="0"/>
        <w:snapToGrid w:val="0"/>
        <w:spacing w:line="440" w:lineRule="exact"/>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（三）已由甲方书面同意乙方公开；</w:t>
      </w:r>
    </w:p>
    <w:p>
      <w:pPr>
        <w:widowControl/>
        <w:adjustRightInd w:val="0"/>
        <w:snapToGrid w:val="0"/>
        <w:spacing w:line="440" w:lineRule="exact"/>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（四）由乙方在未使用该等机密信息的情形下独立开发；</w:t>
      </w:r>
    </w:p>
    <w:p>
      <w:pPr>
        <w:widowControl/>
        <w:adjustRightInd w:val="0"/>
        <w:snapToGrid w:val="0"/>
        <w:spacing w:line="440" w:lineRule="exact"/>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（五）乙方从第三方处合法、正当地取得，且该第三方对该等机密信息不承担保密义务。</w:t>
      </w:r>
    </w:p>
    <w:p>
      <w:pPr>
        <w:widowControl/>
        <w:adjustRightInd w:val="0"/>
        <w:snapToGrid w:val="0"/>
        <w:spacing w:line="440" w:lineRule="exact"/>
        <w:ind w:firstLine="482" w:firstLineChars="200"/>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二、保密</w:t>
      </w:r>
    </w:p>
    <w:p>
      <w:pPr>
        <w:pStyle w:val="10"/>
        <w:spacing w:line="440" w:lineRule="exact"/>
        <w:ind w:left="0" w:firstLine="480" w:firstLineChars="200"/>
        <w:rPr>
          <w:rFonts w:ascii="仿宋" w:hAnsi="仿宋" w:eastAsia="仿宋" w:cs="仿宋"/>
          <w:sz w:val="24"/>
          <w:szCs w:val="24"/>
        </w:rPr>
      </w:pPr>
      <w:r>
        <w:rPr>
          <w:rFonts w:hint="eastAsia" w:ascii="仿宋" w:hAnsi="仿宋" w:eastAsia="仿宋" w:cs="仿宋"/>
          <w:color w:val="000000"/>
          <w:kern w:val="0"/>
          <w:sz w:val="24"/>
          <w:szCs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4"/>
          <w:szCs w:val="24"/>
        </w:rPr>
        <w:t xml:space="preserve">  </w:t>
      </w:r>
    </w:p>
    <w:p>
      <w:pPr>
        <w:widowControl/>
        <w:adjustRightInd w:val="0"/>
        <w:snapToGrid w:val="0"/>
        <w:spacing w:line="440" w:lineRule="exact"/>
        <w:ind w:firstLine="482" w:firstLineChars="200"/>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三、公开</w:t>
      </w:r>
    </w:p>
    <w:p>
      <w:pPr>
        <w:pStyle w:val="10"/>
        <w:spacing w:line="440" w:lineRule="exact"/>
        <w:ind w:left="0" w:firstLine="480" w:firstLineChars="200"/>
        <w:rPr>
          <w:rFonts w:ascii="仿宋" w:hAnsi="仿宋" w:eastAsia="仿宋" w:cs="仿宋"/>
          <w:sz w:val="24"/>
          <w:szCs w:val="24"/>
        </w:rPr>
      </w:pPr>
      <w:r>
        <w:rPr>
          <w:rFonts w:hint="eastAsia" w:ascii="仿宋" w:hAnsi="仿宋" w:eastAsia="仿宋" w:cs="仿宋"/>
          <w:color w:val="000000"/>
          <w:kern w:val="0"/>
          <w:sz w:val="24"/>
          <w:szCs w:val="24"/>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4"/>
          <w:szCs w:val="24"/>
        </w:rPr>
        <w:t xml:space="preserve">                                                                                                                                                               </w:t>
      </w:r>
    </w:p>
    <w:p>
      <w:pPr>
        <w:widowControl/>
        <w:adjustRightInd w:val="0"/>
        <w:snapToGrid w:val="0"/>
        <w:spacing w:line="440" w:lineRule="exact"/>
        <w:ind w:firstLine="482" w:firstLineChars="200"/>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四、强制性披露</w:t>
      </w:r>
    </w:p>
    <w:p>
      <w:pPr>
        <w:spacing w:line="4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440" w:lineRule="exact"/>
        <w:ind w:firstLine="482" w:firstLineChars="200"/>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五、返还资料</w:t>
      </w:r>
    </w:p>
    <w:p>
      <w:pPr>
        <w:pStyle w:val="6"/>
        <w:spacing w:line="44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在承诺书目的终止、撤消、完成、被拒绝或以其他方式解除后，根据甲方的书面要求，乙方应在项目谈判协商终止后的</w:t>
      </w:r>
      <w:r>
        <w:rPr>
          <w:rFonts w:hint="eastAsia" w:ascii="仿宋" w:hAnsi="仿宋" w:eastAsia="仿宋" w:cs="仿宋"/>
          <w:color w:val="000000"/>
          <w:kern w:val="0"/>
          <w:sz w:val="24"/>
          <w:szCs w:val="24"/>
          <w:u w:val="single"/>
        </w:rPr>
        <w:t xml:space="preserve"> 3 </w:t>
      </w:r>
      <w:r>
        <w:rPr>
          <w:rFonts w:hint="eastAsia" w:ascii="仿宋" w:hAnsi="仿宋" w:eastAsia="仿宋" w:cs="仿宋"/>
          <w:color w:val="000000"/>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440" w:lineRule="exact"/>
        <w:ind w:firstLine="482" w:firstLineChars="200"/>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六、非授权许可</w:t>
      </w:r>
    </w:p>
    <w:p>
      <w:pPr>
        <w:spacing w:line="4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440" w:lineRule="exact"/>
        <w:ind w:firstLine="482" w:firstLineChars="200"/>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七、义务限定</w:t>
      </w:r>
    </w:p>
    <w:p>
      <w:pPr>
        <w:spacing w:line="440" w:lineRule="exact"/>
        <w:ind w:firstLine="480" w:firstLineChars="200"/>
        <w:rPr>
          <w:rFonts w:ascii="仿宋" w:hAnsi="仿宋" w:eastAsia="仿宋" w:cs="仿宋"/>
          <w:sz w:val="24"/>
        </w:rPr>
      </w:pPr>
      <w:r>
        <w:rPr>
          <w:rFonts w:hint="eastAsia" w:ascii="仿宋" w:hAnsi="仿宋" w:eastAsia="仿宋" w:cs="仿宋"/>
          <w:color w:val="000000"/>
          <w:kern w:val="0"/>
          <w:sz w:val="24"/>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440" w:lineRule="exact"/>
        <w:ind w:firstLine="482" w:firstLineChars="200"/>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八、信息准确性</w:t>
      </w:r>
    </w:p>
    <w:p>
      <w:pPr>
        <w:spacing w:line="440" w:lineRule="exact"/>
        <w:ind w:firstLine="480" w:firstLineChars="200"/>
        <w:rPr>
          <w:rFonts w:ascii="仿宋" w:hAnsi="仿宋" w:eastAsia="仿宋" w:cs="仿宋"/>
          <w:sz w:val="24"/>
        </w:rPr>
      </w:pPr>
      <w:r>
        <w:rPr>
          <w:rFonts w:hint="eastAsia" w:ascii="仿宋" w:hAnsi="仿宋" w:eastAsia="仿宋" w:cs="仿宋"/>
          <w:color w:val="000000"/>
          <w:kern w:val="0"/>
          <w:sz w:val="24"/>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440" w:lineRule="exact"/>
        <w:ind w:firstLine="482" w:firstLineChars="200"/>
        <w:textAlignment w:val="baseline"/>
        <w:rPr>
          <w:rFonts w:ascii="仿宋" w:hAnsi="仿宋" w:eastAsia="仿宋" w:cs="仿宋"/>
          <w:b/>
          <w:color w:val="000000"/>
          <w:kern w:val="0"/>
          <w:sz w:val="24"/>
        </w:rPr>
      </w:pPr>
      <w:r>
        <w:rPr>
          <w:rFonts w:hint="eastAsia" w:ascii="仿宋" w:hAnsi="仿宋" w:eastAsia="仿宋" w:cs="仿宋"/>
          <w:b/>
          <w:color w:val="000000"/>
          <w:kern w:val="0"/>
          <w:sz w:val="24"/>
        </w:rPr>
        <w:t>九、期限</w:t>
      </w:r>
    </w:p>
    <w:p>
      <w:pPr>
        <w:pStyle w:val="6"/>
        <w:spacing w:line="44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本承诺书中乙方之保密义务应自乙方收到机密信息之日起</w:t>
      </w:r>
      <w:r>
        <w:rPr>
          <w:rFonts w:hint="eastAsia" w:ascii="仿宋" w:hAnsi="仿宋" w:eastAsia="仿宋" w:cs="仿宋"/>
          <w:color w:val="000000"/>
          <w:kern w:val="0"/>
          <w:sz w:val="24"/>
          <w:szCs w:val="24"/>
          <w:u w:val="single"/>
        </w:rPr>
        <w:t xml:space="preserve"> 5 </w:t>
      </w:r>
      <w:r>
        <w:rPr>
          <w:rFonts w:hint="eastAsia" w:ascii="仿宋" w:hAnsi="仿宋" w:eastAsia="仿宋" w:cs="仿宋"/>
          <w:color w:val="000000"/>
          <w:kern w:val="0"/>
          <w:sz w:val="24"/>
          <w:szCs w:val="24"/>
        </w:rPr>
        <w:t>年内持续有效，且不因承诺书目的之达成而终止。</w:t>
      </w:r>
    </w:p>
    <w:p>
      <w:pPr>
        <w:pStyle w:val="5"/>
        <w:spacing w:after="0" w:line="440" w:lineRule="exact"/>
        <w:ind w:firstLine="482" w:firstLineChars="200"/>
        <w:rPr>
          <w:rFonts w:ascii="仿宋" w:hAnsi="仿宋" w:eastAsia="仿宋" w:cs="仿宋"/>
          <w:b/>
          <w:color w:val="000000"/>
          <w:sz w:val="24"/>
        </w:rPr>
      </w:pPr>
      <w:r>
        <w:rPr>
          <w:rFonts w:hint="eastAsia" w:ascii="仿宋" w:hAnsi="仿宋" w:eastAsia="仿宋" w:cs="仿宋"/>
          <w:b/>
          <w:color w:val="000000"/>
          <w:kern w:val="0"/>
          <w:sz w:val="24"/>
        </w:rPr>
        <w:t>十、</w:t>
      </w:r>
      <w:r>
        <w:rPr>
          <w:rFonts w:hint="eastAsia" w:ascii="仿宋" w:hAnsi="仿宋" w:eastAsia="仿宋" w:cs="仿宋"/>
          <w:b/>
          <w:color w:val="000000"/>
          <w:sz w:val="24"/>
        </w:rPr>
        <w:t>补充条款</w:t>
      </w:r>
    </w:p>
    <w:p>
      <w:pPr>
        <w:pStyle w:val="5"/>
        <w:spacing w:after="0" w:line="440" w:lineRule="exact"/>
        <w:ind w:firstLine="482" w:firstLineChars="200"/>
        <w:rPr>
          <w:rFonts w:ascii="仿宋" w:hAnsi="仿宋" w:eastAsia="仿宋" w:cs="仿宋"/>
          <w:b/>
          <w:color w:val="000000"/>
          <w:sz w:val="24"/>
        </w:rPr>
      </w:pPr>
      <w:r>
        <w:rPr>
          <w:rFonts w:hint="eastAsia" w:ascii="仿宋" w:hAnsi="仿宋" w:eastAsia="仿宋" w:cs="仿宋"/>
          <w:b/>
          <w:color w:val="000000"/>
          <w:sz w:val="24"/>
        </w:rPr>
        <w:t>（一）合规条款</w:t>
      </w:r>
    </w:p>
    <w:p>
      <w:pPr>
        <w:pStyle w:val="5"/>
        <w:spacing w:after="0"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5"/>
        <w:spacing w:after="0"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2、履约行为合规承诺：乙方承诺具有履行本承诺书约定的能力，且履行行为符合现行法律法规等规范性文件的要求。</w:t>
      </w:r>
    </w:p>
    <w:p>
      <w:pPr>
        <w:pStyle w:val="5"/>
        <w:spacing w:after="0"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5"/>
        <w:spacing w:after="0"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4、合规检查：乙方应积极配合甲方的合规检查，理解并接受甲方对乙方的合规管理要求，同意配合合规检查，并不得隐瞒任何可能对甲方利益造成影响的信息。</w:t>
      </w:r>
    </w:p>
    <w:p>
      <w:pPr>
        <w:pStyle w:val="5"/>
        <w:spacing w:after="0"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5、劳动用工:</w:t>
      </w:r>
      <w:r>
        <w:rPr>
          <w:rFonts w:hint="eastAsia" w:ascii="仿宋" w:hAnsi="仿宋" w:eastAsia="仿宋" w:cs="仿宋"/>
          <w:sz w:val="24"/>
        </w:rPr>
        <w:t xml:space="preserve"> </w:t>
      </w:r>
      <w:r>
        <w:rPr>
          <w:rFonts w:hint="eastAsia" w:ascii="仿宋" w:hAnsi="仿宋" w:eastAsia="仿宋" w:cs="仿宋"/>
          <w:color w:val="000000"/>
          <w:sz w:val="24"/>
        </w:rPr>
        <w:t>乙方承诺不雇佣、使用童工，保障其员工的劳动合法权益，不纵容、支持、实施歧视、威胁员工的行为或发布相关言论。</w:t>
      </w:r>
    </w:p>
    <w:p>
      <w:pPr>
        <w:pStyle w:val="5"/>
        <w:spacing w:after="0"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5"/>
        <w:spacing w:after="0"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7、严格约束乙方员工及其代理人：乙方承诺严格遵守合规承诺条款，若乙方员工及乙方的代理人或代理机构违反相关承诺即视为乙方违反。</w:t>
      </w:r>
    </w:p>
    <w:p>
      <w:pPr>
        <w:pStyle w:val="5"/>
        <w:spacing w:after="0"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5"/>
        <w:spacing w:after="0"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5"/>
        <w:spacing w:after="0"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10、责任承担：如果乙方违反前述合规承诺条款，甲方有权要求乙方承担因此而给甲方造成的全部损失。</w:t>
      </w:r>
    </w:p>
    <w:p>
      <w:pPr>
        <w:pStyle w:val="5"/>
        <w:spacing w:after="0"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12、适用原则：本承诺书中合规条款对乙方的要求与承诺书中其他条款不一致的，以对乙方要求更高的条款为准。</w:t>
      </w:r>
    </w:p>
    <w:p>
      <w:pPr>
        <w:pStyle w:val="5"/>
        <w:spacing w:after="0" w:line="440" w:lineRule="exact"/>
        <w:ind w:firstLine="482" w:firstLineChars="200"/>
        <w:rPr>
          <w:rFonts w:ascii="仿宋" w:hAnsi="仿宋" w:eastAsia="仿宋" w:cs="仿宋"/>
          <w:b/>
          <w:color w:val="000000"/>
          <w:sz w:val="24"/>
        </w:rPr>
      </w:pPr>
      <w:r>
        <w:rPr>
          <w:rFonts w:hint="eastAsia" w:ascii="仿宋" w:hAnsi="仿宋" w:eastAsia="仿宋" w:cs="仿宋"/>
          <w:b/>
          <w:color w:val="000000"/>
          <w:sz w:val="24"/>
        </w:rPr>
        <w:t>（二）环境保护</w:t>
      </w:r>
    </w:p>
    <w:p>
      <w:pPr>
        <w:spacing w:line="440" w:lineRule="exact"/>
        <w:ind w:firstLine="480" w:firstLineChars="200"/>
        <w:rPr>
          <w:rFonts w:ascii="仿宋" w:hAnsi="仿宋" w:eastAsia="仿宋" w:cs="仿宋"/>
          <w:sz w:val="24"/>
        </w:rPr>
      </w:pPr>
      <w:r>
        <w:rPr>
          <w:rFonts w:hint="eastAsia" w:ascii="仿宋" w:hAnsi="仿宋" w:eastAsia="仿宋" w:cs="仿宋"/>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（三）附件法律效力条款</w:t>
      </w:r>
    </w:p>
    <w:p>
      <w:pPr>
        <w:widowControl/>
        <w:adjustRightInd w:val="0"/>
        <w:snapToGrid w:val="0"/>
        <w:spacing w:line="440" w:lineRule="exact"/>
        <w:ind w:firstLine="480" w:firstLineChars="200"/>
        <w:textAlignment w:val="baseline"/>
        <w:rPr>
          <w:rFonts w:ascii="仿宋" w:hAnsi="仿宋" w:eastAsia="仿宋" w:cs="仿宋"/>
          <w:color w:val="000000"/>
          <w:kern w:val="0"/>
          <w:sz w:val="24"/>
        </w:rPr>
      </w:pPr>
      <w:r>
        <w:rPr>
          <w:rFonts w:hint="eastAsia" w:ascii="仿宋" w:hAnsi="仿宋" w:eastAsia="仿宋" w:cs="仿宋"/>
          <w:sz w:val="24"/>
        </w:rPr>
        <w:t>本着接受法律上之约束的意向，双方特此同意本承诺书全部附录、附件等均为本承诺书不可分割的部分，共同构成双方就达成的全部承诺书，与本承诺书具有同等法律效力。</w:t>
      </w:r>
    </w:p>
    <w:p>
      <w:pPr>
        <w:pStyle w:val="5"/>
        <w:spacing w:after="0" w:line="440" w:lineRule="exact"/>
        <w:ind w:firstLine="482" w:firstLineChars="200"/>
        <w:rPr>
          <w:rFonts w:ascii="仿宋" w:hAnsi="仿宋" w:eastAsia="仿宋" w:cs="仿宋"/>
          <w:b/>
          <w:color w:val="000000"/>
          <w:kern w:val="0"/>
          <w:sz w:val="24"/>
        </w:rPr>
      </w:pPr>
      <w:r>
        <w:rPr>
          <w:rFonts w:hint="eastAsia" w:ascii="仿宋" w:hAnsi="仿宋" w:eastAsia="仿宋" w:cs="仿宋"/>
          <w:b/>
          <w:color w:val="000000"/>
          <w:kern w:val="0"/>
          <w:sz w:val="24"/>
        </w:rPr>
        <w:t>十一、适用法律</w:t>
      </w:r>
    </w:p>
    <w:p>
      <w:pPr>
        <w:spacing w:line="4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u w:val="single"/>
        </w:rPr>
        <w:t>【 一 】</w:t>
      </w:r>
      <w:r>
        <w:rPr>
          <w:rFonts w:hint="eastAsia" w:ascii="仿宋" w:hAnsi="仿宋" w:eastAsia="仿宋" w:cs="仿宋"/>
          <w:color w:val="000000"/>
          <w:kern w:val="0"/>
          <w:sz w:val="24"/>
        </w:rPr>
        <w:t>种方式解决：</w:t>
      </w:r>
    </w:p>
    <w:p>
      <w:pPr>
        <w:spacing w:line="4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（一）向呼和浩特仲裁委员会申请仲裁。因仲裁产生的包括但不限于仲裁费、律师费、调查费、差旅费等，由乙方承担。</w:t>
      </w:r>
    </w:p>
    <w:p>
      <w:pPr>
        <w:spacing w:line="4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（二）向甲方所在地有管辖权的人民法院提起诉讼。因诉讼产生的包括但不限于诉讼费、律师费、调查费、差旅费等，由乙方承担。</w:t>
      </w:r>
    </w:p>
    <w:p>
      <w:pPr>
        <w:pStyle w:val="5"/>
        <w:spacing w:after="0" w:line="440" w:lineRule="exact"/>
        <w:ind w:firstLine="482" w:firstLineChars="200"/>
        <w:rPr>
          <w:rFonts w:ascii="仿宋" w:hAnsi="仿宋" w:eastAsia="仿宋" w:cs="仿宋"/>
          <w:b/>
          <w:color w:val="000000"/>
          <w:kern w:val="0"/>
          <w:sz w:val="24"/>
        </w:rPr>
      </w:pPr>
      <w:r>
        <w:rPr>
          <w:rFonts w:hint="eastAsia" w:ascii="仿宋" w:hAnsi="仿宋" w:eastAsia="仿宋" w:cs="仿宋"/>
          <w:b/>
          <w:color w:val="000000"/>
          <w:kern w:val="0"/>
          <w:sz w:val="24"/>
        </w:rPr>
        <w:t>十二、违约责任及救济</w:t>
      </w:r>
    </w:p>
    <w:p>
      <w:pPr>
        <w:spacing w:line="4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482" w:firstLineChars="200"/>
        <w:rPr>
          <w:rFonts w:ascii="仿宋" w:hAnsi="仿宋" w:eastAsia="仿宋" w:cs="仿宋"/>
          <w:color w:val="000000"/>
          <w:kern w:val="0"/>
          <w:sz w:val="24"/>
        </w:rPr>
      </w:pPr>
      <w:r>
        <w:rPr>
          <w:rFonts w:hint="eastAsia" w:ascii="仿宋" w:hAnsi="仿宋" w:eastAsia="仿宋" w:cs="仿宋"/>
          <w:b/>
          <w:color w:val="000000"/>
          <w:kern w:val="0"/>
          <w:sz w:val="24"/>
        </w:rPr>
        <w:t>如果</w:t>
      </w:r>
      <w:r>
        <w:rPr>
          <w:rFonts w:hint="eastAsia" w:ascii="仿宋" w:hAnsi="仿宋" w:eastAsia="仿宋" w:cs="仿宋"/>
          <w:b/>
          <w:bCs/>
          <w:color w:val="000000"/>
          <w:kern w:val="0"/>
          <w:sz w:val="24"/>
        </w:rPr>
        <w:t>乙方</w:t>
      </w:r>
      <w:r>
        <w:rPr>
          <w:rFonts w:hint="eastAsia" w:ascii="仿宋" w:hAnsi="仿宋" w:eastAsia="仿宋" w:cs="仿宋"/>
          <w:b/>
          <w:color w:val="000000"/>
          <w:kern w:val="0"/>
          <w:sz w:val="24"/>
        </w:rPr>
        <w:t>违反本承诺书的任何规定情形,则甲方有权将乙方拉入蒙牛供应商黑名单，乙方应积极配合甲方在10个工作日内收回已经泄露的信息。</w:t>
      </w:r>
    </w:p>
    <w:p>
      <w:pPr>
        <w:pStyle w:val="5"/>
        <w:spacing w:after="0" w:line="440" w:lineRule="exact"/>
        <w:ind w:firstLine="482" w:firstLineChars="200"/>
        <w:rPr>
          <w:rFonts w:ascii="仿宋" w:hAnsi="仿宋" w:eastAsia="仿宋" w:cs="仿宋"/>
          <w:b/>
          <w:color w:val="000000"/>
          <w:kern w:val="0"/>
          <w:sz w:val="24"/>
        </w:rPr>
      </w:pPr>
      <w:r>
        <w:rPr>
          <w:rFonts w:hint="eastAsia" w:ascii="仿宋" w:hAnsi="仿宋" w:eastAsia="仿宋" w:cs="仿宋"/>
          <w:b/>
          <w:color w:val="000000"/>
          <w:kern w:val="0"/>
          <w:sz w:val="24"/>
        </w:rPr>
        <w:t>十三、生效及份数</w:t>
      </w:r>
    </w:p>
    <w:p>
      <w:pPr>
        <w:pStyle w:val="5"/>
        <w:spacing w:after="0" w:line="440" w:lineRule="exact"/>
        <w:ind w:firstLine="480" w:firstLineChars="200"/>
        <w:rPr>
          <w:rFonts w:ascii="仿宋" w:hAnsi="仿宋" w:eastAsia="仿宋" w:cs="仿宋"/>
          <w:color w:val="000000"/>
          <w:kern w:val="0"/>
          <w:sz w:val="24"/>
        </w:rPr>
      </w:pPr>
      <w:r>
        <w:rPr>
          <w:rFonts w:hint="eastAsia" w:ascii="仿宋" w:hAnsi="仿宋" w:eastAsia="仿宋" w:cs="仿宋"/>
          <w:color w:val="000000"/>
          <w:kern w:val="0"/>
          <w:sz w:val="24"/>
        </w:rPr>
        <w:t>本承诺书经乙方签字盖章之日起生效。</w:t>
      </w:r>
    </w:p>
    <w:p>
      <w:pPr>
        <w:widowControl/>
        <w:adjustRightInd w:val="0"/>
        <w:snapToGrid w:val="0"/>
        <w:spacing w:line="440" w:lineRule="exact"/>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（以下无正文）</w:t>
      </w:r>
      <w:r>
        <w:rPr>
          <w:rFonts w:hint="eastAsia" w:ascii="仿宋" w:hAnsi="仿宋" w:eastAsia="仿宋" w:cs="仿宋"/>
          <w:color w:val="000000"/>
          <w:kern w:val="0"/>
          <w:sz w:val="24"/>
        </w:rPr>
        <w:tab/>
      </w:r>
      <w:r>
        <w:rPr>
          <w:rFonts w:hint="eastAsia" w:ascii="仿宋" w:hAnsi="仿宋" w:eastAsia="仿宋" w:cs="仿宋"/>
          <w:color w:val="000000"/>
          <w:kern w:val="0"/>
          <w:sz w:val="24"/>
        </w:rPr>
        <w:t xml:space="preserve">                            </w:t>
      </w:r>
    </w:p>
    <w:p>
      <w:pPr>
        <w:widowControl/>
        <w:adjustRightInd w:val="0"/>
        <w:snapToGrid w:val="0"/>
        <w:spacing w:line="440" w:lineRule="exact"/>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乙方（承诺方）：</w:t>
      </w:r>
    </w:p>
    <w:p>
      <w:pPr>
        <w:widowControl/>
        <w:adjustRightInd w:val="0"/>
        <w:snapToGrid w:val="0"/>
        <w:spacing w:line="440" w:lineRule="exact"/>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代表人：</w:t>
      </w:r>
    </w:p>
    <w:p>
      <w:pPr>
        <w:widowControl/>
        <w:adjustRightInd w:val="0"/>
        <w:snapToGrid w:val="0"/>
        <w:spacing w:line="440" w:lineRule="exact"/>
        <w:ind w:firstLine="480" w:firstLineChars="200"/>
        <w:textAlignment w:val="baseline"/>
        <w:rPr>
          <w:rFonts w:ascii="仿宋" w:hAnsi="仿宋" w:eastAsia="仿宋" w:cs="仿宋"/>
          <w:color w:val="000000"/>
          <w:kern w:val="0"/>
          <w:sz w:val="24"/>
        </w:rPr>
      </w:pPr>
      <w:r>
        <w:rPr>
          <w:rFonts w:hint="eastAsia" w:ascii="仿宋" w:hAnsi="仿宋" w:eastAsia="仿宋" w:cs="仿宋"/>
          <w:color w:val="000000"/>
          <w:kern w:val="0"/>
          <w:sz w:val="24"/>
        </w:rPr>
        <w:t>日期：</w:t>
      </w:r>
    </w:p>
    <w:p>
      <w:pPr>
        <w:rPr>
          <w:rFonts w:ascii="仿宋" w:hAnsi="仿宋" w:eastAsia="仿宋" w:cs="仿宋"/>
          <w:color w:val="000000"/>
          <w:kern w:val="0"/>
          <w:sz w:val="24"/>
        </w:rPr>
      </w:pPr>
    </w:p>
    <w:sectPr>
      <w:pgSz w:w="11906" w:h="16838"/>
      <w:pgMar w:top="1417" w:right="1134" w:bottom="141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ZjkyNjBmMGQ2MjMyY2FmY2Y1MDkxZDRlMDJkY2EifQ=="/>
  </w:docVars>
  <w:rsids>
    <w:rsidRoot w:val="00222DA1"/>
    <w:rsid w:val="00010DCF"/>
    <w:rsid w:val="0001194D"/>
    <w:rsid w:val="00020169"/>
    <w:rsid w:val="00040744"/>
    <w:rsid w:val="00080551"/>
    <w:rsid w:val="000814A0"/>
    <w:rsid w:val="000E5CED"/>
    <w:rsid w:val="000F2E0F"/>
    <w:rsid w:val="000F492A"/>
    <w:rsid w:val="00100F50"/>
    <w:rsid w:val="00146358"/>
    <w:rsid w:val="0014675B"/>
    <w:rsid w:val="00193ADD"/>
    <w:rsid w:val="00195302"/>
    <w:rsid w:val="001A03FA"/>
    <w:rsid w:val="001B0DD4"/>
    <w:rsid w:val="001C0EEE"/>
    <w:rsid w:val="001C193D"/>
    <w:rsid w:val="001E1EB5"/>
    <w:rsid w:val="001F00E8"/>
    <w:rsid w:val="00222DA1"/>
    <w:rsid w:val="00224EE3"/>
    <w:rsid w:val="00262594"/>
    <w:rsid w:val="002811BB"/>
    <w:rsid w:val="002C160F"/>
    <w:rsid w:val="002C32F1"/>
    <w:rsid w:val="002C35BD"/>
    <w:rsid w:val="002C68EC"/>
    <w:rsid w:val="002E4225"/>
    <w:rsid w:val="002E6A30"/>
    <w:rsid w:val="003078E2"/>
    <w:rsid w:val="00342F9F"/>
    <w:rsid w:val="00343CA2"/>
    <w:rsid w:val="00345F3F"/>
    <w:rsid w:val="00350D65"/>
    <w:rsid w:val="003A0325"/>
    <w:rsid w:val="003A4A6B"/>
    <w:rsid w:val="003B1657"/>
    <w:rsid w:val="003B21B0"/>
    <w:rsid w:val="003F36FA"/>
    <w:rsid w:val="004031D4"/>
    <w:rsid w:val="00433476"/>
    <w:rsid w:val="00434050"/>
    <w:rsid w:val="00495C41"/>
    <w:rsid w:val="004D3ABF"/>
    <w:rsid w:val="004F02A7"/>
    <w:rsid w:val="004F3CD1"/>
    <w:rsid w:val="00504FC2"/>
    <w:rsid w:val="00525508"/>
    <w:rsid w:val="005258FA"/>
    <w:rsid w:val="00537D61"/>
    <w:rsid w:val="005468F3"/>
    <w:rsid w:val="00550BD8"/>
    <w:rsid w:val="0055156D"/>
    <w:rsid w:val="00562AF3"/>
    <w:rsid w:val="0057374B"/>
    <w:rsid w:val="0057582B"/>
    <w:rsid w:val="005829BD"/>
    <w:rsid w:val="00582DCB"/>
    <w:rsid w:val="0058356A"/>
    <w:rsid w:val="00590CB8"/>
    <w:rsid w:val="005A01C3"/>
    <w:rsid w:val="005B4572"/>
    <w:rsid w:val="005C06DB"/>
    <w:rsid w:val="00605BDC"/>
    <w:rsid w:val="0061759D"/>
    <w:rsid w:val="006515AA"/>
    <w:rsid w:val="006518AC"/>
    <w:rsid w:val="00655C6C"/>
    <w:rsid w:val="006B28A9"/>
    <w:rsid w:val="006B493B"/>
    <w:rsid w:val="006D5571"/>
    <w:rsid w:val="006E0EB4"/>
    <w:rsid w:val="0071652C"/>
    <w:rsid w:val="007708F3"/>
    <w:rsid w:val="0077309A"/>
    <w:rsid w:val="00774514"/>
    <w:rsid w:val="00776C95"/>
    <w:rsid w:val="00795FD5"/>
    <w:rsid w:val="007A5D34"/>
    <w:rsid w:val="007B704D"/>
    <w:rsid w:val="007C553F"/>
    <w:rsid w:val="007D726F"/>
    <w:rsid w:val="007F46E7"/>
    <w:rsid w:val="0083035A"/>
    <w:rsid w:val="008338EB"/>
    <w:rsid w:val="00881808"/>
    <w:rsid w:val="008860BD"/>
    <w:rsid w:val="008C1BBD"/>
    <w:rsid w:val="008D5360"/>
    <w:rsid w:val="008E1794"/>
    <w:rsid w:val="008E659D"/>
    <w:rsid w:val="008F346B"/>
    <w:rsid w:val="00964DED"/>
    <w:rsid w:val="00971750"/>
    <w:rsid w:val="00977C88"/>
    <w:rsid w:val="0098478F"/>
    <w:rsid w:val="009B29A3"/>
    <w:rsid w:val="009E5CD3"/>
    <w:rsid w:val="00A05455"/>
    <w:rsid w:val="00A13E06"/>
    <w:rsid w:val="00A32A0D"/>
    <w:rsid w:val="00A766FD"/>
    <w:rsid w:val="00AA307F"/>
    <w:rsid w:val="00AA46FF"/>
    <w:rsid w:val="00AD2FB9"/>
    <w:rsid w:val="00AD5D8C"/>
    <w:rsid w:val="00AE2811"/>
    <w:rsid w:val="00AF23AE"/>
    <w:rsid w:val="00AF4203"/>
    <w:rsid w:val="00B036A4"/>
    <w:rsid w:val="00B35F75"/>
    <w:rsid w:val="00B47A63"/>
    <w:rsid w:val="00B622E1"/>
    <w:rsid w:val="00B62398"/>
    <w:rsid w:val="00B765BA"/>
    <w:rsid w:val="00B855A5"/>
    <w:rsid w:val="00B86EFF"/>
    <w:rsid w:val="00B903BF"/>
    <w:rsid w:val="00B96178"/>
    <w:rsid w:val="00BA2172"/>
    <w:rsid w:val="00BC3003"/>
    <w:rsid w:val="00BD2BA0"/>
    <w:rsid w:val="00BD5E29"/>
    <w:rsid w:val="00C731D6"/>
    <w:rsid w:val="00C74CAA"/>
    <w:rsid w:val="00C7598F"/>
    <w:rsid w:val="00C9724B"/>
    <w:rsid w:val="00CB03B6"/>
    <w:rsid w:val="00CC23B1"/>
    <w:rsid w:val="00CC31E9"/>
    <w:rsid w:val="00CC3566"/>
    <w:rsid w:val="00CD2455"/>
    <w:rsid w:val="00D059C8"/>
    <w:rsid w:val="00D34260"/>
    <w:rsid w:val="00D51F13"/>
    <w:rsid w:val="00D60A1C"/>
    <w:rsid w:val="00D61436"/>
    <w:rsid w:val="00D62B7A"/>
    <w:rsid w:val="00D830DF"/>
    <w:rsid w:val="00D91918"/>
    <w:rsid w:val="00DB31B5"/>
    <w:rsid w:val="00DB410A"/>
    <w:rsid w:val="00DC5D09"/>
    <w:rsid w:val="00DE2B64"/>
    <w:rsid w:val="00E14B98"/>
    <w:rsid w:val="00E77617"/>
    <w:rsid w:val="00E8505F"/>
    <w:rsid w:val="00EB423A"/>
    <w:rsid w:val="00EC106E"/>
    <w:rsid w:val="00ED18C7"/>
    <w:rsid w:val="00EF0E25"/>
    <w:rsid w:val="00F0079F"/>
    <w:rsid w:val="00F31F70"/>
    <w:rsid w:val="00F428E1"/>
    <w:rsid w:val="00F53449"/>
    <w:rsid w:val="00F74DD0"/>
    <w:rsid w:val="00F81538"/>
    <w:rsid w:val="00F84EE0"/>
    <w:rsid w:val="00F95612"/>
    <w:rsid w:val="01036B68"/>
    <w:rsid w:val="020D204D"/>
    <w:rsid w:val="028D55D9"/>
    <w:rsid w:val="042F4508"/>
    <w:rsid w:val="06402C0B"/>
    <w:rsid w:val="06F51A39"/>
    <w:rsid w:val="072B7208"/>
    <w:rsid w:val="08337E2C"/>
    <w:rsid w:val="08543354"/>
    <w:rsid w:val="086C2F94"/>
    <w:rsid w:val="09873623"/>
    <w:rsid w:val="0D4B4161"/>
    <w:rsid w:val="0E9A42B6"/>
    <w:rsid w:val="0FBC7F36"/>
    <w:rsid w:val="11F56D91"/>
    <w:rsid w:val="13DB3D64"/>
    <w:rsid w:val="18D414AC"/>
    <w:rsid w:val="18D871A1"/>
    <w:rsid w:val="19B337B9"/>
    <w:rsid w:val="1A357E1A"/>
    <w:rsid w:val="1B0B43F3"/>
    <w:rsid w:val="1C20619E"/>
    <w:rsid w:val="1FC16504"/>
    <w:rsid w:val="209307B2"/>
    <w:rsid w:val="20E013D0"/>
    <w:rsid w:val="211547DC"/>
    <w:rsid w:val="242157C3"/>
    <w:rsid w:val="255E46D4"/>
    <w:rsid w:val="26292F4C"/>
    <w:rsid w:val="27FE22A3"/>
    <w:rsid w:val="2C556C68"/>
    <w:rsid w:val="2CB744E2"/>
    <w:rsid w:val="2D67693D"/>
    <w:rsid w:val="2E330B15"/>
    <w:rsid w:val="2EA339A5"/>
    <w:rsid w:val="32BF4DD8"/>
    <w:rsid w:val="332D7CE1"/>
    <w:rsid w:val="345C57B8"/>
    <w:rsid w:val="34AA79F0"/>
    <w:rsid w:val="38467698"/>
    <w:rsid w:val="384C6E5B"/>
    <w:rsid w:val="39B479FA"/>
    <w:rsid w:val="3A0932AA"/>
    <w:rsid w:val="3A79211C"/>
    <w:rsid w:val="3BA65124"/>
    <w:rsid w:val="3CD82080"/>
    <w:rsid w:val="3DBB238D"/>
    <w:rsid w:val="42534099"/>
    <w:rsid w:val="43187EFB"/>
    <w:rsid w:val="446B32BE"/>
    <w:rsid w:val="469945A1"/>
    <w:rsid w:val="47C16834"/>
    <w:rsid w:val="490E3DD1"/>
    <w:rsid w:val="49641B2B"/>
    <w:rsid w:val="4A846C1E"/>
    <w:rsid w:val="4AE000BE"/>
    <w:rsid w:val="4B186467"/>
    <w:rsid w:val="4CF14812"/>
    <w:rsid w:val="4E0A035C"/>
    <w:rsid w:val="4E4361B3"/>
    <w:rsid w:val="4FAA6F73"/>
    <w:rsid w:val="51476006"/>
    <w:rsid w:val="51961816"/>
    <w:rsid w:val="51C55131"/>
    <w:rsid w:val="52185DF5"/>
    <w:rsid w:val="52D970E6"/>
    <w:rsid w:val="54C87412"/>
    <w:rsid w:val="550F7EF4"/>
    <w:rsid w:val="565F3FE4"/>
    <w:rsid w:val="56D55E16"/>
    <w:rsid w:val="578452AF"/>
    <w:rsid w:val="580E5A83"/>
    <w:rsid w:val="58926B7B"/>
    <w:rsid w:val="59813686"/>
    <w:rsid w:val="5A23627C"/>
    <w:rsid w:val="5B2439B2"/>
    <w:rsid w:val="5B6E6979"/>
    <w:rsid w:val="5BB46942"/>
    <w:rsid w:val="5BE32D83"/>
    <w:rsid w:val="5FAD37A1"/>
    <w:rsid w:val="5FC01634"/>
    <w:rsid w:val="60155303"/>
    <w:rsid w:val="6682591D"/>
    <w:rsid w:val="67554A7B"/>
    <w:rsid w:val="67825B46"/>
    <w:rsid w:val="6A05798A"/>
    <w:rsid w:val="6A3A6264"/>
    <w:rsid w:val="6E891D7D"/>
    <w:rsid w:val="6FDC1165"/>
    <w:rsid w:val="725E2D0C"/>
    <w:rsid w:val="757E5B9F"/>
    <w:rsid w:val="7A3F3D9E"/>
    <w:rsid w:val="7BB90DB3"/>
    <w:rsid w:val="7C727ADF"/>
    <w:rsid w:val="7E394D59"/>
    <w:rsid w:val="7ED17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99"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link w:val="24"/>
    <w:semiHidden/>
    <w:unhideWhenUsed/>
    <w:qFormat/>
    <w:uiPriority w:val="99"/>
    <w:pPr>
      <w:jc w:val="left"/>
    </w:pPr>
  </w:style>
  <w:style w:type="paragraph" w:styleId="4">
    <w:name w:val="Body Text 3"/>
    <w:basedOn w:val="1"/>
    <w:qFormat/>
    <w:uiPriority w:val="0"/>
    <w:rPr>
      <w:rFonts w:ascii="宋体" w:hAnsi="Calibri"/>
      <w:sz w:val="24"/>
      <w:szCs w:val="20"/>
    </w:rPr>
  </w:style>
  <w:style w:type="paragraph" w:styleId="5">
    <w:name w:val="Body Text"/>
    <w:basedOn w:val="1"/>
    <w:qFormat/>
    <w:uiPriority w:val="0"/>
    <w:pPr>
      <w:spacing w:after="120"/>
    </w:pPr>
  </w:style>
  <w:style w:type="paragraph" w:styleId="6">
    <w:name w:val="Body Text Indent"/>
    <w:basedOn w:val="1"/>
    <w:link w:val="26"/>
    <w:qFormat/>
    <w:uiPriority w:val="0"/>
    <w:pPr>
      <w:spacing w:line="360" w:lineRule="auto"/>
      <w:ind w:firstLine="420"/>
    </w:pPr>
    <w:rPr>
      <w:szCs w:val="20"/>
    </w:rPr>
  </w:style>
  <w:style w:type="paragraph" w:styleId="7">
    <w:name w:val="Balloon Text"/>
    <w:basedOn w:val="1"/>
    <w:link w:val="22"/>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Body Text Indent 3"/>
    <w:basedOn w:val="1"/>
    <w:qFormat/>
    <w:uiPriority w:val="0"/>
    <w:pPr>
      <w:ind w:left="720"/>
    </w:pPr>
    <w:rPr>
      <w:szCs w:val="20"/>
    </w:rPr>
  </w:style>
  <w:style w:type="paragraph" w:styleId="11">
    <w:name w:val="Body Text 2"/>
    <w:basedOn w:val="1"/>
    <w:qFormat/>
    <w:uiPriority w:val="99"/>
    <w:pPr>
      <w:spacing w:after="120" w:line="480" w:lineRule="auto"/>
    </w:pPr>
    <w:rPr>
      <w:rFonts w:ascii="Calibri" w:hAnsi="Calibri"/>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25"/>
    <w:semiHidden/>
    <w:unhideWhenUsed/>
    <w:qFormat/>
    <w:uiPriority w:val="99"/>
    <w:rPr>
      <w:b/>
      <w:bCs/>
    </w:rPr>
  </w:style>
  <w:style w:type="paragraph" w:styleId="14">
    <w:name w:val="Body Text First Indent 2"/>
    <w:basedOn w:val="6"/>
    <w:link w:val="27"/>
    <w:semiHidden/>
    <w:unhideWhenUsed/>
    <w:qFormat/>
    <w:uiPriority w:val="99"/>
    <w:pPr>
      <w:spacing w:after="120" w:line="240" w:lineRule="auto"/>
      <w:ind w:left="420" w:leftChars="200" w:firstLine="200" w:firstLineChars="200"/>
    </w:pPr>
    <w:rPr>
      <w:szCs w:val="24"/>
    </w:rPr>
  </w:style>
  <w:style w:type="character" w:styleId="17">
    <w:name w:val="Hyperlink"/>
    <w:basedOn w:val="16"/>
    <w:qFormat/>
    <w:uiPriority w:val="0"/>
    <w:rPr>
      <w:color w:val="0000FF"/>
      <w:u w:val="none"/>
    </w:rPr>
  </w:style>
  <w:style w:type="character" w:styleId="18">
    <w:name w:val="annotation reference"/>
    <w:basedOn w:val="16"/>
    <w:semiHidden/>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9"/>
    <w:qFormat/>
    <w:uiPriority w:val="99"/>
    <w:rPr>
      <w:sz w:val="18"/>
      <w:szCs w:val="18"/>
    </w:rPr>
  </w:style>
  <w:style w:type="character" w:customStyle="1" w:styleId="21">
    <w:name w:val="页脚 字符"/>
    <w:basedOn w:val="16"/>
    <w:link w:val="8"/>
    <w:qFormat/>
    <w:uiPriority w:val="99"/>
    <w:rPr>
      <w:sz w:val="18"/>
      <w:szCs w:val="18"/>
    </w:rPr>
  </w:style>
  <w:style w:type="character" w:customStyle="1" w:styleId="22">
    <w:name w:val="批注框文本 字符"/>
    <w:basedOn w:val="16"/>
    <w:link w:val="7"/>
    <w:semiHidden/>
    <w:qFormat/>
    <w:uiPriority w:val="99"/>
    <w:rPr>
      <w:rFonts w:ascii="Times New Roman" w:hAnsi="Times New Roman" w:eastAsia="宋体" w:cs="Times New Roman"/>
      <w:kern w:val="2"/>
      <w:sz w:val="18"/>
      <w:szCs w:val="18"/>
    </w:rPr>
  </w:style>
  <w:style w:type="paragraph" w:customStyle="1" w:styleId="23">
    <w:name w:val="列表段落1"/>
    <w:basedOn w:val="1"/>
    <w:qFormat/>
    <w:uiPriority w:val="34"/>
    <w:pPr>
      <w:ind w:firstLine="420" w:firstLineChars="200"/>
    </w:pPr>
  </w:style>
  <w:style w:type="character" w:customStyle="1" w:styleId="24">
    <w:name w:val="批注文字 字符"/>
    <w:basedOn w:val="16"/>
    <w:link w:val="3"/>
    <w:semiHidden/>
    <w:qFormat/>
    <w:uiPriority w:val="99"/>
    <w:rPr>
      <w:kern w:val="2"/>
      <w:sz w:val="21"/>
      <w:szCs w:val="24"/>
    </w:rPr>
  </w:style>
  <w:style w:type="character" w:customStyle="1" w:styleId="25">
    <w:name w:val="批注主题 字符"/>
    <w:basedOn w:val="24"/>
    <w:link w:val="13"/>
    <w:semiHidden/>
    <w:qFormat/>
    <w:uiPriority w:val="99"/>
    <w:rPr>
      <w:b/>
      <w:bCs/>
      <w:kern w:val="2"/>
      <w:sz w:val="21"/>
      <w:szCs w:val="24"/>
    </w:rPr>
  </w:style>
  <w:style w:type="character" w:customStyle="1" w:styleId="26">
    <w:name w:val="正文文本缩进 字符"/>
    <w:basedOn w:val="16"/>
    <w:link w:val="6"/>
    <w:qFormat/>
    <w:uiPriority w:val="0"/>
    <w:rPr>
      <w:kern w:val="2"/>
      <w:sz w:val="21"/>
    </w:rPr>
  </w:style>
  <w:style w:type="character" w:customStyle="1" w:styleId="27">
    <w:name w:val="正文文本首行缩进 2 字符"/>
    <w:basedOn w:val="26"/>
    <w:link w:val="14"/>
    <w:semiHidden/>
    <w:qFormat/>
    <w:uiPriority w:val="99"/>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5645</Words>
  <Characters>6126</Characters>
  <Lines>48</Lines>
  <Paragraphs>13</Paragraphs>
  <TotalTime>14</TotalTime>
  <ScaleCrop>false</ScaleCrop>
  <LinksUpToDate>false</LinksUpToDate>
  <CharactersWithSpaces>6385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黄巍</cp:lastModifiedBy>
  <dcterms:modified xsi:type="dcterms:W3CDTF">2023-07-27T06:37:48Z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7D33E86D8C8440C9BC5F60E68B32E1CC</vt:lpwstr>
  </property>
</Properties>
</file>