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28"/>
          <w:szCs w:val="28"/>
        </w:rPr>
      </w:pPr>
      <w:r>
        <w:rPr>
          <w:rFonts w:hint="eastAsia" w:ascii="宋体" w:hAnsi="宋体" w:cs="宋体"/>
          <w:b/>
          <w:bCs/>
          <w:kern w:val="0"/>
          <w:sz w:val="28"/>
          <w:szCs w:val="28"/>
        </w:rPr>
        <w:t>蒙牛乳业</w:t>
      </w:r>
      <w:r>
        <w:rPr>
          <w:rFonts w:hint="eastAsia" w:ascii="黑体" w:hAnsi="宋体" w:eastAsia="黑体" w:cs="宋体"/>
          <w:bCs/>
          <w:kern w:val="0"/>
          <w:sz w:val="28"/>
          <w:szCs w:val="28"/>
        </w:rPr>
        <w:t>冰品事业部“24年手册设计及制作项目”</w:t>
      </w:r>
      <w:r>
        <w:rPr>
          <w:rFonts w:hint="eastAsia" w:ascii="宋体" w:hAnsi="宋体" w:cs="宋体"/>
          <w:b/>
          <w:bCs/>
          <w:kern w:val="0"/>
          <w:sz w:val="28"/>
          <w:szCs w:val="28"/>
        </w:rPr>
        <w:t>询比价公告</w:t>
      </w:r>
    </w:p>
    <w:p>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rPr>
        <w:t>24年手册设计及制作项目</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pPr>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Calibri" w:hAnsi="Calibri" w:eastAsia="仿宋" w:cs="Calibri"/>
          <w:b/>
          <w:bCs/>
          <w:sz w:val="28"/>
          <w:szCs w:val="28"/>
        </w:rPr>
        <w:t>MNCGJH-20230911-0011-0001</w:t>
      </w:r>
      <w:r>
        <w:rPr>
          <w:rFonts w:ascii="Calibri" w:hAnsi="Calibri" w:eastAsia="仿宋" w:cs="Calibri"/>
          <w:kern w:val="0"/>
          <w:sz w:val="24"/>
        </w:rPr>
        <w:t> </w:t>
      </w:r>
    </w:p>
    <w:p>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u w:val="single"/>
        </w:rPr>
        <w:t xml:space="preserve"> 24年手册设计及制作项目</w:t>
      </w:r>
    </w:p>
    <w:p>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bookmarkStart w:id="0" w:name="_GoBack"/>
      <w:bookmarkEnd w:id="0"/>
    </w:p>
    <w:p>
      <w:pPr>
        <w:spacing w:line="360" w:lineRule="auto"/>
        <w:ind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1、手册：</w:t>
      </w:r>
      <w:r>
        <w:rPr>
          <w:rFonts w:hint="eastAsia" w:ascii="仿宋" w:hAnsi="仿宋" w:eastAsia="仿宋"/>
          <w:color w:val="000000"/>
          <w:sz w:val="28"/>
          <w:szCs w:val="28"/>
        </w:rPr>
        <w:t>对执行标准SOP的可视化、生动化，对策略内容的结构化、标准化，提升对员工赋能的效能，强化员工的品牌烙印，设计相关执行标准手册</w:t>
      </w:r>
      <w:r>
        <w:rPr>
          <w:rFonts w:hint="eastAsia" w:ascii="仿宋" w:hAnsi="仿宋" w:eastAsia="仿宋"/>
          <w:color w:val="000000"/>
          <w:sz w:val="28"/>
          <w:szCs w:val="28"/>
          <w:lang w:eastAsia="zh-CN"/>
        </w:rPr>
        <w:t>。</w:t>
      </w:r>
    </w:p>
    <w:p>
      <w:pPr>
        <w:spacing w:line="360" w:lineRule="auto"/>
        <w:ind w:firstLine="600" w:firstLineChars="200"/>
        <w:jc w:val="left"/>
        <w:rPr>
          <w:rFonts w:ascii="仿宋_GB2312" w:hAnsi="宋体" w:eastAsia="仿宋_GB2312"/>
          <w:sz w:val="30"/>
          <w:szCs w:val="30"/>
        </w:rPr>
      </w:pPr>
      <w:r>
        <w:rPr>
          <w:rFonts w:hint="eastAsia" w:ascii="仿宋_GB2312" w:hAnsi="宋体" w:eastAsia="仿宋_GB2312"/>
          <w:sz w:val="30"/>
          <w:szCs w:val="30"/>
          <w:lang w:val="en-US" w:eastAsia="zh-CN"/>
        </w:rPr>
        <w:t>2、24年手册设计及制作项目</w:t>
      </w:r>
      <w:r>
        <w:rPr>
          <w:rFonts w:ascii="仿宋_GB2312" w:hAnsi="宋体" w:eastAsia="仿宋_GB2312"/>
          <w:sz w:val="30"/>
          <w:szCs w:val="30"/>
        </w:rPr>
        <w:t>，将</w:t>
      </w:r>
      <w:r>
        <w:rPr>
          <w:rFonts w:hint="eastAsia" w:ascii="仿宋_GB2312" w:hAnsi="宋体" w:eastAsia="仿宋_GB2312"/>
          <w:sz w:val="30"/>
          <w:szCs w:val="30"/>
          <w:lang w:val="en-US" w:eastAsia="zh-CN"/>
        </w:rPr>
        <w:t>用</w:t>
      </w:r>
      <w:r>
        <w:rPr>
          <w:rFonts w:ascii="仿宋_GB2312" w:hAnsi="宋体" w:eastAsia="仿宋_GB2312"/>
          <w:sz w:val="30"/>
          <w:szCs w:val="30"/>
        </w:rPr>
        <w:t>于202</w:t>
      </w:r>
      <w:r>
        <w:rPr>
          <w:rFonts w:hint="eastAsia" w:ascii="仿宋_GB2312" w:hAnsi="宋体" w:eastAsia="仿宋_GB2312"/>
          <w:sz w:val="30"/>
          <w:szCs w:val="30"/>
          <w:lang w:val="en-US" w:eastAsia="zh-CN"/>
        </w:rPr>
        <w:t>3</w:t>
      </w:r>
      <w:r>
        <w:rPr>
          <w:rFonts w:ascii="仿宋_GB2312" w:hAnsi="宋体" w:eastAsia="仿宋_GB2312"/>
          <w:sz w:val="30"/>
          <w:szCs w:val="30"/>
        </w:rPr>
        <w:t>年</w:t>
      </w:r>
      <w:r>
        <w:rPr>
          <w:rFonts w:hint="eastAsia" w:ascii="仿宋_GB2312" w:hAnsi="宋体" w:eastAsia="仿宋_GB2312"/>
          <w:sz w:val="30"/>
          <w:szCs w:val="30"/>
          <w:lang w:val="en-US" w:eastAsia="zh-CN"/>
        </w:rPr>
        <w:t>11</w:t>
      </w:r>
      <w:r>
        <w:rPr>
          <w:rFonts w:ascii="仿宋_GB2312" w:hAnsi="宋体" w:eastAsia="仿宋_GB2312"/>
          <w:sz w:val="30"/>
          <w:szCs w:val="30"/>
        </w:rPr>
        <w:t>月</w:t>
      </w:r>
      <w:r>
        <w:rPr>
          <w:rFonts w:hint="eastAsia" w:ascii="仿宋_GB2312" w:hAnsi="宋体" w:eastAsia="仿宋_GB2312"/>
          <w:sz w:val="30"/>
          <w:szCs w:val="30"/>
          <w:lang w:val="en-US" w:eastAsia="zh-CN"/>
        </w:rPr>
        <w:t>1</w:t>
      </w:r>
      <w:r>
        <w:rPr>
          <w:rFonts w:ascii="仿宋_GB2312" w:hAnsi="宋体" w:eastAsia="仿宋_GB2312"/>
          <w:sz w:val="30"/>
          <w:szCs w:val="30"/>
        </w:rPr>
        <w:t>日</w:t>
      </w:r>
      <w:r>
        <w:rPr>
          <w:rFonts w:hint="eastAsia" w:ascii="仿宋_GB2312" w:hAnsi="宋体" w:eastAsia="仿宋_GB2312"/>
          <w:sz w:val="30"/>
          <w:szCs w:val="30"/>
          <w:lang w:val="en-US" w:eastAsia="zh-CN"/>
        </w:rPr>
        <w:t>-2025年11月30日。</w:t>
      </w:r>
    </w:p>
    <w:p>
      <w:pPr>
        <w:jc w:val="left"/>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w:t>
      </w:r>
      <w:r>
        <w:rPr>
          <w:rFonts w:hint="eastAsia" w:ascii="仿宋" w:hAnsi="仿宋" w:eastAsia="仿宋"/>
          <w:color w:val="000000"/>
          <w:sz w:val="28"/>
          <w:szCs w:val="28"/>
          <w:lang w:val="en-US" w:eastAsia="zh-CN"/>
        </w:rPr>
        <w:t>50</w:t>
      </w:r>
      <w:r>
        <w:rPr>
          <w:rFonts w:ascii="仿宋" w:hAnsi="仿宋" w:eastAsia="仿宋"/>
          <w:sz w:val="28"/>
          <w:szCs w:val="28"/>
        </w:rPr>
        <w:t>0</w:t>
      </w:r>
      <w:r>
        <w:rPr>
          <w:rFonts w:hint="eastAsia" w:ascii="仿宋" w:hAnsi="仿宋" w:eastAsia="仿宋"/>
          <w:color w:val="000000"/>
          <w:sz w:val="28"/>
          <w:szCs w:val="28"/>
        </w:rPr>
        <w:t>万元人民币（外币按注册时汇率计算）及以上，以企业营业执照为准；</w:t>
      </w:r>
    </w:p>
    <w:p>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 xml:space="preserve"> 2、公司成立日期为3年（即</w:t>
      </w:r>
      <w:r>
        <w:rPr>
          <w:rFonts w:hint="eastAsia" w:ascii="仿宋_GB2312" w:hAnsi="仿宋" w:eastAsia="仿宋_GB2312" w:cstheme="minorBidi"/>
          <w:kern w:val="2"/>
          <w:sz w:val="24"/>
          <w:szCs w:val="24"/>
          <w:lang w:val="en-US" w:eastAsia="zh-CN" w:bidi="ar-SA"/>
        </w:rPr>
        <w:t>2020年9月1日</w:t>
      </w:r>
      <w:r>
        <w:rPr>
          <w:rFonts w:hint="eastAsia" w:ascii="仿宋" w:hAnsi="仿宋" w:eastAsia="仿宋"/>
          <w:color w:val="000000"/>
          <w:sz w:val="28"/>
          <w:szCs w:val="28"/>
        </w:rPr>
        <w:t>之前注册即可）及以上，以企业营业执照为准；</w:t>
      </w:r>
    </w:p>
    <w:p>
      <w:pPr>
        <w:spacing w:line="360" w:lineRule="auto"/>
        <w:ind w:firstLine="560"/>
        <w:rPr>
          <w:rFonts w:ascii="仿宋" w:hAnsi="仿宋" w:eastAsia="仿宋"/>
          <w:color w:val="000000"/>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、本项目不接</w:t>
      </w:r>
      <w:r>
        <w:rPr>
          <w:rFonts w:hint="eastAsia" w:ascii="仿宋" w:hAnsi="仿宋" w:eastAsia="仿宋"/>
          <w:color w:val="000000"/>
          <w:sz w:val="28"/>
          <w:szCs w:val="28"/>
        </w:rPr>
        <w:t>受联合体投标；</w:t>
      </w:r>
    </w:p>
    <w:p>
      <w:pPr>
        <w:spacing w:line="360" w:lineRule="auto"/>
        <w:ind w:firstLine="560"/>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、法定代表人为同一个的两个及两个以上法人，母公司、全资子公司及其控股公司，只能有一家参加本项目投标；</w:t>
      </w:r>
    </w:p>
    <w:p>
      <w:pPr>
        <w:pStyle w:val="5"/>
        <w:widowControl/>
        <w:shd w:val="clear" w:color="auto" w:fill="FFFFFF"/>
        <w:spacing w:line="336" w:lineRule="atLeast"/>
        <w:ind w:firstLine="560"/>
        <w:rPr>
          <w:rFonts w:ascii="仿宋" w:hAnsi="仿宋" w:eastAsia="仿宋"/>
          <w:color w:val="000000"/>
          <w:sz w:val="28"/>
          <w:szCs w:val="28"/>
        </w:rPr>
      </w:pPr>
      <w:r>
        <w:rPr>
          <w:rFonts w:hint="eastAsia" w:ascii="仿宋" w:hAnsi="仿宋" w:eastAsia="仿宋"/>
          <w:color w:val="000000"/>
          <w:kern w:val="2"/>
          <w:sz w:val="28"/>
          <w:szCs w:val="28"/>
          <w:lang w:val="en-US" w:eastAsia="zh-CN"/>
        </w:rPr>
        <w:t>5</w:t>
      </w:r>
      <w:r>
        <w:rPr>
          <w:rFonts w:ascii="仿宋" w:hAnsi="仿宋" w:eastAsia="仿宋"/>
          <w:color w:val="000000"/>
          <w:kern w:val="2"/>
          <w:sz w:val="28"/>
          <w:szCs w:val="28"/>
        </w:rPr>
        <w:t>、法定代表人参股的企业，只允许一家参与投标；</w:t>
      </w:r>
      <w:r>
        <w:rPr>
          <w:rFonts w:ascii="仿宋" w:hAnsi="仿宋" w:eastAsia="仿宋"/>
          <w:color w:val="000000"/>
          <w:sz w:val="28"/>
          <w:szCs w:val="28"/>
        </w:rPr>
        <w:t xml:space="preserve">   </w:t>
      </w:r>
    </w:p>
    <w:p>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pPr>
        <w:spacing w:line="360" w:lineRule="auto"/>
        <w:ind w:firstLine="54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、报名时需提供：</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3)、提供税务登记证（副本）；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rPr>
        <w:t>近三年类似项目业绩</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包含手册的设计</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印刷品制作</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选择近三年认为最成功的设计每种类型责任2个作为业绩</w:t>
      </w:r>
      <w:r>
        <w:rPr>
          <w:rFonts w:hint="eastAsia" w:ascii="仿宋" w:hAnsi="仿宋" w:eastAsia="仿宋"/>
          <w:color w:val="000000"/>
          <w:sz w:val="28"/>
          <w:szCs w:val="28"/>
        </w:rPr>
        <w:t>；</w:t>
      </w:r>
    </w:p>
    <w:p>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auto"/>
          <w:kern w:val="0"/>
          <w:sz w:val="28"/>
          <w:szCs w:val="32"/>
        </w:rPr>
        <w:t>增值税发票的资格，提供一般纳税人认定资格证</w:t>
      </w:r>
    </w:p>
    <w:p>
      <w:pPr>
        <w:ind w:firstLine="560" w:firstLineChars="200"/>
        <w:rPr>
          <w:rFonts w:hint="eastAsia" w:eastAsia="仿宋_GB2312"/>
          <w:b w:val="0"/>
          <w:bCs/>
          <w:color w:val="auto"/>
          <w:kern w:val="0"/>
          <w:sz w:val="28"/>
          <w:szCs w:val="32"/>
          <w:lang w:eastAsia="zh-CN"/>
        </w:rPr>
      </w:pPr>
      <w:r>
        <w:rPr>
          <w:rFonts w:hint="eastAsia" w:eastAsia="仿宋_GB2312"/>
          <w:b w:val="0"/>
          <w:bCs/>
          <w:color w:val="auto"/>
          <w:kern w:val="0"/>
          <w:sz w:val="28"/>
          <w:szCs w:val="32"/>
        </w:rPr>
        <w:t>明材料</w:t>
      </w:r>
      <w:r>
        <w:rPr>
          <w:rFonts w:hint="eastAsia" w:eastAsia="仿宋_GB2312"/>
          <w:b w:val="0"/>
          <w:bCs/>
          <w:color w:val="auto"/>
          <w:kern w:val="0"/>
          <w:sz w:val="28"/>
          <w:szCs w:val="32"/>
          <w:lang w:eastAsia="zh-CN"/>
        </w:rPr>
        <w:t>；</w:t>
      </w:r>
    </w:p>
    <w:p>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9"/>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9"/>
          <w:rFonts w:hint="eastAsia" w:ascii="仿宋" w:hAnsi="仿宋" w:eastAsia="仿宋"/>
          <w:color w:val="000000"/>
          <w:sz w:val="28"/>
          <w:szCs w:val="28"/>
          <w:lang w:val="en-US" w:eastAsia="zh-CN"/>
        </w:rPr>
        <w:t>2</w:t>
      </w:r>
      <w:r>
        <w:rPr>
          <w:rStyle w:val="9"/>
          <w:rFonts w:hint="eastAsia" w:ascii="仿宋" w:hAnsi="仿宋" w:eastAsia="仿宋"/>
          <w:color w:val="000000"/>
          <w:sz w:val="28"/>
          <w:szCs w:val="28"/>
        </w:rPr>
        <w:t>）、</w:t>
      </w:r>
      <w:r>
        <w:rPr>
          <w:rStyle w:val="9"/>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9"/>
          <w:rFonts w:hint="eastAsia" w:ascii="仿宋" w:hAnsi="仿宋" w:eastAsia="仿宋"/>
          <w:color w:val="000000"/>
          <w:sz w:val="28"/>
          <w:szCs w:val="28"/>
        </w:rPr>
        <w:t>。</w:t>
      </w:r>
      <w:r>
        <w:rPr>
          <w:rFonts w:hint="eastAsia" w:ascii="仿宋" w:hAnsi="仿宋" w:eastAsia="仿宋"/>
          <w:color w:val="000000"/>
          <w:sz w:val="28"/>
          <w:szCs w:val="28"/>
        </w:rPr>
        <w:fldChar w:fldCharType="end"/>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日1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点之前将以上资质文件复印件并加盖公章，发送至报名联系人邮箱</w:t>
      </w:r>
      <w:r>
        <w:rPr>
          <w:rFonts w:hint="eastAsia" w:ascii="仿宋" w:hAnsi="仿宋" w:eastAsia="仿宋"/>
          <w:color w:val="000000"/>
          <w:sz w:val="28"/>
          <w:szCs w:val="28"/>
          <w:lang w:val="en-US" w:eastAsia="zh-CN"/>
        </w:rPr>
        <w:t>及电子采招平台</w:t>
      </w:r>
      <w:r>
        <w:rPr>
          <w:rFonts w:hint="eastAsia" w:ascii="仿宋" w:hAnsi="仿宋" w:eastAsia="仿宋"/>
          <w:color w:val="000000"/>
          <w:sz w:val="28"/>
          <w:szCs w:val="28"/>
        </w:rPr>
        <w:t>，作为报名及资格预审材料（以上内容必须清晰、易辨认，否则将被视为没有提供有效证件）。</w:t>
      </w:r>
    </w:p>
    <w:p>
      <w:pPr>
        <w:rPr>
          <w:rFonts w:ascii="仿宋_GB2312" w:hAnsi="宋体" w:eastAsia="仿宋_GB2312"/>
          <w:b/>
          <w:sz w:val="28"/>
          <w:szCs w:val="28"/>
        </w:rPr>
      </w:pPr>
      <w:r>
        <w:rPr>
          <w:rFonts w:hint="eastAsia" w:ascii="仿宋_GB2312" w:hAnsi="宋体" w:eastAsia="仿宋_GB2312"/>
          <w:b/>
          <w:sz w:val="28"/>
          <w:szCs w:val="28"/>
        </w:rPr>
        <w:t>五、项目时间安排及要求：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13</w:t>
      </w:r>
      <w:r>
        <w:rPr>
          <w:rFonts w:hint="eastAsia" w:ascii="仿宋_GB2312" w:hAnsi="宋体" w:eastAsia="仿宋_GB2312"/>
          <w:sz w:val="28"/>
          <w:szCs w:val="28"/>
        </w:rPr>
        <w:t>日</w:t>
      </w:r>
      <w:r>
        <w:rPr>
          <w:rFonts w:ascii="仿宋_GB2312" w:hAnsi="宋体" w:eastAsia="仿宋_GB2312"/>
          <w:sz w:val="28"/>
          <w:szCs w:val="28"/>
          <w:u w:val="single"/>
        </w:rPr>
        <w:t>9</w:t>
      </w:r>
      <w:r>
        <w:rPr>
          <w:rFonts w:hint="eastAsia" w:ascii="仿宋_GB2312" w:hAnsi="宋体" w:eastAsia="仿宋_GB2312"/>
          <w:sz w:val="28"/>
          <w:szCs w:val="28"/>
        </w:rPr>
        <w:t>时至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13</w:t>
      </w:r>
      <w:r>
        <w:rPr>
          <w:rFonts w:hint="eastAsia" w:ascii="仿宋_GB2312" w:hAnsi="宋体" w:eastAsia="仿宋_GB2312"/>
          <w:sz w:val="28"/>
          <w:szCs w:val="28"/>
        </w:rPr>
        <w:t>日至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w:t>
      </w:r>
      <w:r>
        <w:rPr>
          <w:rFonts w:hint="eastAsia" w:ascii="仿宋_GB2312" w:hAnsi="宋体" w:eastAsia="仿宋_GB2312"/>
          <w:sz w:val="28"/>
          <w:szCs w:val="28"/>
          <w:lang w:val="en-US" w:eastAsia="zh-CN"/>
        </w:rPr>
        <w:t>前</w:t>
      </w:r>
      <w:r>
        <w:rPr>
          <w:rFonts w:hint="eastAsia" w:ascii="仿宋_GB2312" w:hAnsi="宋体" w:eastAsia="仿宋_GB2312"/>
          <w:sz w:val="28"/>
          <w:szCs w:val="28"/>
        </w:rPr>
        <w:t>发售询价单</w:t>
      </w:r>
      <w:r>
        <w:rPr>
          <w:rFonts w:hint="eastAsia" w:ascii="仿宋_GB2312" w:hAnsi="宋体" w:eastAsia="仿宋_GB2312"/>
          <w:sz w:val="28"/>
          <w:szCs w:val="28"/>
          <w:lang w:val="en-US" w:eastAsia="zh-CN"/>
        </w:rPr>
        <w:t>及相关需求</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4、比价时间：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21</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rPr>
        <w:t>0</w:t>
      </w:r>
      <w:r>
        <w:rPr>
          <w:rFonts w:hint="eastAsia" w:ascii="仿宋_GB2312" w:hAnsi="宋体" w:eastAsia="仿宋_GB2312"/>
          <w:sz w:val="28"/>
          <w:szCs w:val="28"/>
        </w:rPr>
        <w:t>时（若有</w:t>
      </w:r>
      <w:r>
        <w:rPr>
          <w:rFonts w:ascii="仿宋_GB2312" w:hAnsi="宋体" w:eastAsia="仿宋_GB2312"/>
          <w:sz w:val="28"/>
          <w:szCs w:val="28"/>
        </w:rPr>
        <w:t>调整另行通知</w:t>
      </w:r>
      <w:r>
        <w:rPr>
          <w:rFonts w:hint="eastAsia" w:ascii="仿宋_GB2312" w:hAnsi="宋体" w:eastAsia="仿宋_GB2312"/>
          <w:sz w:val="28"/>
          <w:szCs w:val="28"/>
        </w:rPr>
        <w:t>）；</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方式一：执行蒙牛集团电子采购招标平台线上采购招标流程</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方式二：执行线下采购招标流程</w:t>
      </w:r>
      <w:r>
        <w:rPr>
          <w:rFonts w:hint="eastAsia" w:eastAsia="仿宋_GB2312"/>
          <w:b w:val="0"/>
          <w:bCs/>
          <w:i/>
          <w:iCs/>
          <w:color w:val="FF0000"/>
          <w:kern w:val="0"/>
          <w:sz w:val="22"/>
          <w:szCs w:val="24"/>
        </w:rPr>
        <w:t>（谈判形式可选择现场、电话、视频、邮件确认等，各种谈判形式均应保留完整的过程文件）</w:t>
      </w:r>
    </w:p>
    <w:p>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报名资格文件的组成及顺序按照如下要求提供：</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3)、提供税务登记证（副本）；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rPr>
        <w:t>近三年类似项目业绩</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包含手册的设计</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印刷品制作</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选择近三年认为最成功的设计每种类型责任2个作为业绩</w:t>
      </w:r>
      <w:r>
        <w:rPr>
          <w:rFonts w:hint="eastAsia" w:ascii="仿宋" w:hAnsi="仿宋" w:eastAsia="仿宋"/>
          <w:color w:val="000000"/>
          <w:sz w:val="28"/>
          <w:szCs w:val="28"/>
        </w:rPr>
        <w:t>；</w:t>
      </w:r>
    </w:p>
    <w:p>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auto"/>
          <w:kern w:val="0"/>
          <w:sz w:val="28"/>
          <w:szCs w:val="32"/>
        </w:rPr>
        <w:t>增值税发票的资格，提供一般纳税人认定资格证</w:t>
      </w:r>
    </w:p>
    <w:p>
      <w:pPr>
        <w:ind w:firstLine="560" w:firstLineChars="200"/>
        <w:rPr>
          <w:rFonts w:hint="eastAsia" w:eastAsia="仿宋_GB2312"/>
          <w:b w:val="0"/>
          <w:bCs/>
          <w:color w:val="auto"/>
          <w:kern w:val="0"/>
          <w:sz w:val="28"/>
          <w:szCs w:val="32"/>
          <w:lang w:eastAsia="zh-CN"/>
        </w:rPr>
      </w:pPr>
      <w:r>
        <w:rPr>
          <w:rFonts w:hint="eastAsia" w:eastAsia="仿宋_GB2312"/>
          <w:b w:val="0"/>
          <w:bCs/>
          <w:color w:val="auto"/>
          <w:kern w:val="0"/>
          <w:sz w:val="28"/>
          <w:szCs w:val="32"/>
        </w:rPr>
        <w:t>明材料</w:t>
      </w:r>
      <w:r>
        <w:rPr>
          <w:rFonts w:hint="eastAsia" w:eastAsia="仿宋_GB2312"/>
          <w:b w:val="0"/>
          <w:bCs/>
          <w:color w:val="auto"/>
          <w:kern w:val="0"/>
          <w:sz w:val="28"/>
          <w:szCs w:val="32"/>
          <w:lang w:eastAsia="zh-CN"/>
        </w:rPr>
        <w:t>；</w:t>
      </w:r>
    </w:p>
    <w:p>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pPr>
        <w:ind w:firstLine="560" w:firstLineChars="200"/>
        <w:rPr>
          <w:rFonts w:hint="eastAsia" w:ascii="仿宋_GB2312" w:hAnsi="宋体" w:eastAsia="仿宋_GB2312"/>
          <w:b/>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保密承诺书</w:t>
      </w:r>
    </w:p>
    <w:p>
      <w:pPr>
        <w:ind w:firstLine="562" w:firstLineChars="200"/>
        <w:rPr>
          <w:rFonts w:hint="eastAsia" w:ascii="仿宋_GB2312" w:hAnsi="宋体" w:eastAsia="仿宋_GB2312"/>
          <w:b/>
          <w:sz w:val="28"/>
          <w:szCs w:val="28"/>
          <w:u w:val="single"/>
          <w:lang w:eastAsia="zh-CN"/>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北京市</w:t>
      </w:r>
      <w:r>
        <w:rPr>
          <w:rFonts w:ascii="仿宋_GB2312" w:hAnsi="宋体" w:eastAsia="仿宋_GB2312"/>
          <w:color w:val="000000"/>
          <w:sz w:val="28"/>
          <w:szCs w:val="28"/>
        </w:rPr>
        <w:t>通州区食品工业园区一区一号蒙牛乳业</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线上</w:t>
      </w:r>
      <w:r>
        <w:rPr>
          <w:rFonts w:hint="eastAsia" w:ascii="仿宋_GB2312" w:hAnsi="宋体" w:eastAsia="仿宋_GB2312"/>
          <w:color w:val="000000"/>
          <w:sz w:val="28"/>
          <w:szCs w:val="28"/>
          <w:lang w:eastAsia="zh-CN"/>
        </w:rPr>
        <w:t>）</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蒙牛集团电子采购招标平</w:t>
      </w:r>
      <w:r>
        <w:rPr>
          <w:rFonts w:hint="eastAsia" w:ascii="仿宋_GB2312" w:hAnsi="宋体" w:eastAsia="仿宋_GB2312"/>
          <w:color w:val="000000"/>
          <w:sz w:val="24"/>
          <w:szCs w:val="24"/>
          <w:lang w:val="en-US" w:eastAsia="zh-CN"/>
        </w:rPr>
        <w:t>台</w:t>
      </w:r>
      <w:r>
        <w:rPr>
          <w:rFonts w:hint="eastAsia" w:ascii="仿宋_GB2312" w:hAnsi="宋体" w:eastAsia="仿宋_GB2312"/>
          <w:color w:val="000000"/>
          <w:sz w:val="24"/>
          <w:szCs w:val="24"/>
        </w:rPr>
        <w:t>（https://zbcg.mengniu.cn/#/home)</w:t>
      </w:r>
    </w:p>
    <w:p>
      <w:pPr>
        <w:shd w:val="clear" w:color="auto" w:fill="FFFFFF"/>
        <w:snapToGrid w:val="0"/>
        <w:spacing w:line="360"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蒙牛官网（http://www.mengniu.com.cn）</w:t>
      </w:r>
    </w:p>
    <w:p>
      <w:pPr>
        <w:shd w:val="clear" w:color="auto" w:fill="FFFFFF"/>
        <w:snapToGrid w:val="0"/>
        <w:spacing w:line="360"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或按需增加相关行业权威网站，受资源限制的项目可直接向经评</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估的供应渠道发出采招信息。</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刘锡飞</w:t>
      </w:r>
      <w:r>
        <w:rPr>
          <w:rFonts w:hint="eastAsia"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15947519040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pPr>
        <w:rPr>
          <w:rFonts w:hint="eastAsia" w:ascii="仿宋_GB2312" w:hAnsi="宋体" w:eastAsia="仿宋_GB2312"/>
          <w:sz w:val="28"/>
          <w:szCs w:val="28"/>
          <w:lang w:eastAsia="zh-CN"/>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葛明星</w:t>
      </w:r>
    </w:p>
    <w:p>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13074772262</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left="2835" w:leftChars="1350" w:right="709" w:firstLine="980" w:firstLineChars="350"/>
        <w:jc w:val="center"/>
        <w:rPr>
          <w:rFonts w:ascii="仿宋_GB2312" w:hAnsi="宋体" w:eastAsia="仿宋_GB2312"/>
          <w:sz w:val="28"/>
          <w:szCs w:val="28"/>
        </w:rPr>
      </w:pPr>
      <w:r>
        <w:rPr>
          <w:rFonts w:hint="eastAsia" w:ascii="仿宋_GB2312" w:hAnsi="宋体" w:eastAsia="仿宋_GB2312"/>
          <w:sz w:val="28"/>
          <w:szCs w:val="28"/>
        </w:rPr>
        <w:t>蒙牛乳业（天津）有限公司</w:t>
      </w:r>
    </w:p>
    <w:p>
      <w:pPr>
        <w:ind w:left="2835" w:leftChars="1350" w:right="709" w:firstLine="980" w:firstLineChars="350"/>
        <w:jc w:val="center"/>
        <w:rPr>
          <w:rFonts w:ascii="仿宋" w:hAnsi="仿宋" w:eastAsia="仿宋"/>
          <w:sz w:val="32"/>
          <w:szCs w:val="32"/>
        </w:rPr>
      </w:pPr>
      <w:r>
        <w:rPr>
          <w:rFonts w:hint="eastAsia" w:ascii="仿宋_GB2312" w:hAnsi="宋体" w:eastAsia="仿宋_GB2312"/>
          <w:sz w:val="28"/>
          <w:szCs w:val="28"/>
        </w:rPr>
        <w:t>二零二</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w:t>
      </w:r>
      <w:r>
        <w:rPr>
          <w:rFonts w:hint="eastAsia" w:ascii="仿宋_GB2312" w:hAnsi="宋体" w:eastAsia="仿宋_GB2312"/>
          <w:sz w:val="28"/>
          <w:szCs w:val="28"/>
          <w:lang w:val="en-US" w:eastAsia="zh-CN"/>
        </w:rPr>
        <w:t>九</w:t>
      </w:r>
      <w:r>
        <w:rPr>
          <w:rFonts w:hint="eastAsia" w:ascii="仿宋_GB2312" w:hAnsi="宋体" w:eastAsia="仿宋_GB2312"/>
          <w:sz w:val="28"/>
          <w:szCs w:val="28"/>
        </w:rPr>
        <w:t>月</w:t>
      </w:r>
      <w:r>
        <w:rPr>
          <w:rFonts w:hint="eastAsia" w:ascii="仿宋_GB2312" w:hAnsi="宋体" w:eastAsia="仿宋_GB2312"/>
          <w:sz w:val="28"/>
          <w:szCs w:val="28"/>
          <w:lang w:val="en-US" w:eastAsia="zh-CN"/>
        </w:rPr>
        <w:t>十二</w:t>
      </w:r>
      <w:r>
        <w:rPr>
          <w:rFonts w:hint="eastAsia" w:ascii="仿宋_GB2312" w:hAnsi="宋体" w:eastAsia="仿宋_GB2312"/>
          <w:sz w:val="28"/>
          <w:szCs w:val="28"/>
        </w:rPr>
        <w:t>日</w:t>
      </w:r>
    </w:p>
    <w:p/>
    <w:p/>
    <w:p/>
    <w:p/>
    <w:p/>
    <w:p/>
    <w:p/>
    <w:p/>
    <w:p/>
    <w:p/>
    <w:p/>
    <w:p/>
    <w:p/>
    <w:p/>
    <w:p/>
    <w:p/>
    <w:p/>
    <w:p/>
    <w:p/>
    <w:p/>
    <w:p/>
    <w:p>
      <w:pPr>
        <w:widowControl/>
        <w:adjustRightInd w:val="0"/>
        <w:snapToGrid w:val="0"/>
        <w:spacing w:line="440" w:lineRule="exact"/>
        <w:jc w:val="left"/>
        <w:textAlignment w:val="baseline"/>
        <w:rPr>
          <w:rFonts w:hint="default" w:ascii="楷体_GB2312" w:hAnsi="黑体" w:eastAsia="楷体_GB2312"/>
          <w:b/>
          <w:kern w:val="0"/>
          <w:sz w:val="22"/>
          <w:szCs w:val="22"/>
          <w:lang w:val="en-US" w:eastAsia="zh-CN"/>
        </w:rPr>
      </w:pPr>
      <w:r>
        <w:rPr>
          <w:rFonts w:hint="eastAsia" w:ascii="楷体_GB2312" w:hAnsi="黑体" w:eastAsia="楷体_GB2312"/>
          <w:b/>
          <w:kern w:val="0"/>
          <w:sz w:val="24"/>
          <w:szCs w:val="24"/>
          <w:lang w:val="en-US" w:eastAsia="zh-CN"/>
        </w:rPr>
        <w:t>附件1</w:t>
      </w:r>
    </w:p>
    <w:p>
      <w:pPr>
        <w:widowControl/>
        <w:adjustRightInd w:val="0"/>
        <w:snapToGrid w:val="0"/>
        <w:spacing w:line="440" w:lineRule="exact"/>
        <w:jc w:val="center"/>
        <w:textAlignment w:val="baseline"/>
        <w:rPr>
          <w:rFonts w:ascii="楷体_GB2312" w:hAnsi="黑体" w:eastAsia="楷体_GB2312"/>
          <w:b/>
          <w:kern w:val="0"/>
          <w:sz w:val="40"/>
          <w:szCs w:val="40"/>
        </w:rPr>
      </w:pPr>
      <w:r>
        <w:rPr>
          <w:rFonts w:hint="eastAsia" w:ascii="楷体_GB2312" w:hAnsi="黑体" w:eastAsia="楷体_GB2312"/>
          <w:b/>
          <w:kern w:val="0"/>
          <w:sz w:val="40"/>
          <w:szCs w:val="40"/>
        </w:rPr>
        <w:t>保密承诺书</w:t>
      </w:r>
    </w:p>
    <w:p>
      <w:pPr>
        <w:widowControl/>
        <w:adjustRightInd w:val="0"/>
        <w:snapToGrid w:val="0"/>
        <w:spacing w:line="440" w:lineRule="exact"/>
        <w:jc w:val="center"/>
        <w:textAlignment w:val="baseline"/>
        <w:rPr>
          <w:rFonts w:hint="eastAsia" w:ascii="楷体_GB2312" w:hAnsi="黑体" w:eastAsia="楷体_GB2312"/>
          <w:b/>
          <w:kern w:val="0"/>
          <w:sz w:val="24"/>
          <w:szCs w:val="24"/>
        </w:rPr>
      </w:pP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hint="eastAsia" w:ascii="楷体_GB2312" w:hAnsi="黑体" w:eastAsia="楷体_GB2312"/>
          <w:color w:val="000000"/>
          <w:kern w:val="0"/>
          <w:sz w:val="24"/>
          <w:szCs w:val="24"/>
        </w:rPr>
        <w:t>甲方：</w:t>
      </w:r>
      <w:r>
        <w:rPr>
          <w:rFonts w:hint="eastAsia" w:ascii="楷体_GB2312" w:hAnsi="黑体" w:eastAsia="楷体_GB2312"/>
          <w:color w:val="000000"/>
          <w:kern w:val="0"/>
          <w:sz w:val="24"/>
          <w:szCs w:val="24"/>
          <w:highlight w:val="none"/>
        </w:rPr>
        <w:t>蒙牛乳业（天津）有限公司</w:t>
      </w: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ascii="楷体_GB2312" w:hAnsi="黑体" w:eastAsia="楷体_GB2312"/>
          <w:color w:val="000000"/>
          <w:kern w:val="0"/>
          <w:sz w:val="24"/>
          <w:szCs w:val="24"/>
        </w:rPr>
        <w:t>地址</w:t>
      </w:r>
      <w:r>
        <w:rPr>
          <w:rFonts w:hint="eastAsia" w:ascii="楷体_GB2312" w:hAnsi="黑体" w:eastAsia="楷体_GB2312"/>
          <w:color w:val="000000"/>
          <w:kern w:val="0"/>
          <w:sz w:val="24"/>
          <w:szCs w:val="24"/>
        </w:rPr>
        <w:t>：</w:t>
      </w:r>
    </w:p>
    <w:p>
      <w:pPr>
        <w:widowControl/>
        <w:adjustRightInd w:val="0"/>
        <w:snapToGrid w:val="0"/>
        <w:spacing w:line="440" w:lineRule="exact"/>
        <w:jc w:val="left"/>
        <w:textAlignment w:val="baseline"/>
        <w:rPr>
          <w:rFonts w:hint="eastAsia" w:ascii="楷体_GB2312" w:hAnsi="黑体" w:eastAsia="楷体_GB2312"/>
          <w:color w:val="000000"/>
          <w:kern w:val="0"/>
          <w:sz w:val="24"/>
          <w:szCs w:val="24"/>
        </w:rPr>
      </w:pP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hint="eastAsia" w:ascii="楷体_GB2312" w:hAnsi="黑体" w:eastAsia="楷体_GB2312"/>
          <w:color w:val="000000"/>
          <w:kern w:val="0"/>
          <w:sz w:val="24"/>
          <w:szCs w:val="24"/>
        </w:rPr>
        <w:t>乙方（承诺方）：</w:t>
      </w:r>
    </w:p>
    <w:p>
      <w:pPr>
        <w:widowControl/>
        <w:adjustRightInd w:val="0"/>
        <w:snapToGrid w:val="0"/>
        <w:spacing w:line="440" w:lineRule="exact"/>
        <w:jc w:val="left"/>
        <w:textAlignment w:val="baseline"/>
        <w:rPr>
          <w:rFonts w:ascii="楷体_GB2312" w:hAnsi="黑体" w:eastAsia="楷体_GB2312"/>
          <w:color w:val="000000"/>
          <w:kern w:val="0"/>
          <w:sz w:val="24"/>
          <w:szCs w:val="24"/>
        </w:rPr>
      </w:pPr>
      <w:r>
        <w:rPr>
          <w:rFonts w:ascii="楷体_GB2312" w:hAnsi="黑体" w:eastAsia="楷体_GB2312"/>
          <w:color w:val="000000"/>
          <w:kern w:val="0"/>
          <w:sz w:val="24"/>
          <w:szCs w:val="24"/>
        </w:rPr>
        <w:t>地址</w:t>
      </w:r>
      <w:r>
        <w:rPr>
          <w:rFonts w:hint="eastAsia" w:ascii="楷体_GB2312" w:hAnsi="黑体" w:eastAsia="楷体_GB2312"/>
          <w:color w:val="000000"/>
          <w:kern w:val="0"/>
          <w:sz w:val="24"/>
          <w:szCs w:val="24"/>
        </w:rPr>
        <w:t>：</w:t>
      </w:r>
    </w:p>
    <w:p>
      <w:pPr>
        <w:widowControl/>
        <w:adjustRightInd w:val="0"/>
        <w:snapToGrid w:val="0"/>
        <w:spacing w:line="440" w:lineRule="exact"/>
        <w:jc w:val="left"/>
        <w:textAlignment w:val="baseline"/>
        <w:rPr>
          <w:rFonts w:hint="eastAsia" w:ascii="楷体_GB2312" w:hAnsi="黑体" w:eastAsia="楷体_GB2312"/>
          <w:color w:val="000000"/>
          <w:kern w:val="0"/>
          <w:sz w:val="24"/>
          <w:szCs w:val="24"/>
        </w:rPr>
      </w:pP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甲乙双方就</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一、定义</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（二）已公开发表或非因乙方作为或不作为的原因，已向公众披露；</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（三）已由甲方书面同意乙方公开；</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（四）由乙方在未使用该等机密信息的情形下独立开发；</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二、保密</w:t>
      </w:r>
    </w:p>
    <w:p>
      <w:pPr>
        <w:pStyle w:val="4"/>
        <w:spacing w:line="440" w:lineRule="exact"/>
        <w:ind w:left="0" w:firstLine="480" w:firstLineChars="200"/>
        <w:rPr>
          <w:rFonts w:hint="eastAsia" w:ascii="楷体_GB2312" w:hAnsi="宋体" w:eastAsia="楷体_GB2312"/>
          <w:sz w:val="24"/>
          <w:szCs w:val="24"/>
        </w:rPr>
      </w:pPr>
      <w:r>
        <w:rPr>
          <w:rFonts w:hint="eastAsia" w:ascii="楷体_GB2312" w:hAnsi="宋体" w:eastAsia="楷体_GB2312"/>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4"/>
          <w:szCs w:val="24"/>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三、公开</w:t>
      </w:r>
    </w:p>
    <w:p>
      <w:pPr>
        <w:pStyle w:val="4"/>
        <w:spacing w:line="440" w:lineRule="exact"/>
        <w:ind w:left="239" w:leftChars="114" w:firstLine="360" w:firstLineChars="150"/>
        <w:rPr>
          <w:rFonts w:hint="eastAsia" w:ascii="楷体_GB2312" w:hAnsi="宋体" w:eastAsia="楷体_GB2312"/>
          <w:sz w:val="24"/>
          <w:szCs w:val="24"/>
        </w:rPr>
      </w:pPr>
      <w:r>
        <w:rPr>
          <w:rFonts w:hint="eastAsia" w:ascii="楷体_GB2312" w:hAnsi="宋体" w:eastAsia="楷体_GB2312"/>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4"/>
          <w:szCs w:val="24"/>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四、强制性披露</w:t>
      </w:r>
    </w:p>
    <w:p>
      <w:pPr>
        <w:spacing w:line="440" w:lineRule="exact"/>
        <w:ind w:firstLine="544" w:firstLineChars="227"/>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五、返还资料</w:t>
      </w:r>
    </w:p>
    <w:p>
      <w:pPr>
        <w:pStyle w:val="3"/>
        <w:spacing w:line="440" w:lineRule="exact"/>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u w:val="single"/>
          <w:lang w:val="en-US" w:eastAsia="zh-CN"/>
        </w:rPr>
        <w:t>15</w:t>
      </w:r>
      <w:r>
        <w:rPr>
          <w:rFonts w:hint="eastAsia"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六、非授权许可</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七、义务限定</w:t>
      </w:r>
    </w:p>
    <w:p>
      <w:pPr>
        <w:spacing w:line="440" w:lineRule="exact"/>
        <w:ind w:left="1"/>
        <w:rPr>
          <w:rFonts w:hint="eastAsia" w:ascii="楷体_GB2312" w:hAnsi="宋体" w:eastAsia="楷体_GB2312"/>
          <w:sz w:val="24"/>
          <w:szCs w:val="24"/>
        </w:rPr>
      </w:pPr>
      <w:r>
        <w:rPr>
          <w:rFonts w:hint="eastAsia" w:ascii="楷体_GB2312" w:hAnsi="宋体" w:eastAsia="楷体_GB2312"/>
          <w:b/>
          <w:bCs/>
          <w:sz w:val="24"/>
          <w:szCs w:val="24"/>
        </w:rPr>
        <w:t xml:space="preserve">   </w:t>
      </w:r>
      <w:r>
        <w:rPr>
          <w:rFonts w:hint="eastAsia" w:ascii="楷体_GB2312" w:hAnsi="宋体" w:eastAsia="楷体_GB2312"/>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八、信息准确性</w:t>
      </w:r>
    </w:p>
    <w:p>
      <w:pPr>
        <w:spacing w:line="440" w:lineRule="exact"/>
        <w:ind w:left="-79" w:leftChars="-266" w:hanging="480" w:hangingChars="200"/>
        <w:rPr>
          <w:rFonts w:hint="eastAsia" w:ascii="楷体_GB2312" w:hAnsi="宋体" w:eastAsia="楷体_GB2312"/>
          <w:sz w:val="24"/>
          <w:szCs w:val="24"/>
        </w:rPr>
      </w:pPr>
      <w:r>
        <w:rPr>
          <w:rFonts w:hint="eastAsia" w:ascii="楷体_GB2312" w:hAnsi="宋体" w:eastAsia="楷体_GB2312"/>
          <w:sz w:val="24"/>
          <w:szCs w:val="24"/>
        </w:rPr>
        <w:t xml:space="preserve">        </w:t>
      </w:r>
      <w:r>
        <w:rPr>
          <w:rFonts w:hint="eastAsia" w:ascii="楷体_GB2312" w:hAnsi="宋体" w:eastAsia="楷体_GB2312"/>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九、期限</w:t>
      </w:r>
    </w:p>
    <w:p>
      <w:pPr>
        <w:pStyle w:val="3"/>
        <w:spacing w:line="440" w:lineRule="exact"/>
        <w:rPr>
          <w:rFonts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本承诺书中乙方之保密义务应自乙方收到机密信息之日起</w:t>
      </w:r>
      <w:r>
        <w:rPr>
          <w:rFonts w:hint="eastAsia" w:ascii="楷体_GB2312" w:hAnsi="宋体" w:eastAsia="楷体_GB2312"/>
          <w:color w:val="000000"/>
          <w:kern w:val="0"/>
          <w:sz w:val="24"/>
          <w:szCs w:val="24"/>
          <w:u w:val="single"/>
          <w:lang w:val="en-US" w:eastAsia="zh-CN"/>
        </w:rPr>
        <w:t>10</w:t>
      </w:r>
      <w:r>
        <w:rPr>
          <w:rFonts w:ascii="楷体_GB2312" w:hAnsi="宋体" w:eastAsia="楷体_GB2312"/>
          <w:color w:val="000000"/>
          <w:kern w:val="0"/>
          <w:sz w:val="24"/>
          <w:szCs w:val="24"/>
          <w:u w:val="single"/>
        </w:rPr>
        <w:t xml:space="preserve"> </w:t>
      </w:r>
      <w:r>
        <w:rPr>
          <w:rFonts w:hint="eastAsia" w:ascii="楷体_GB2312" w:hAnsi="宋体" w:eastAsia="楷体_GB2312"/>
          <w:color w:val="000000"/>
          <w:kern w:val="0"/>
          <w:sz w:val="24"/>
          <w:szCs w:val="24"/>
        </w:rPr>
        <w:t>年内持续有效，且不因承诺书目的之达成而终止。</w:t>
      </w:r>
    </w:p>
    <w:p>
      <w:pPr>
        <w:pStyle w:val="2"/>
        <w:spacing w:before="156" w:beforeLines="50" w:after="156" w:afterLines="50" w:line="440" w:lineRule="exact"/>
        <w:rPr>
          <w:rFonts w:ascii="楷体" w:hAnsi="楷体" w:eastAsia="楷体"/>
          <w:b/>
          <w:color w:val="000000"/>
          <w:sz w:val="24"/>
          <w:szCs w:val="24"/>
        </w:rPr>
      </w:pPr>
      <w:r>
        <w:rPr>
          <w:rFonts w:hint="eastAsia" w:ascii="楷体_GB2312" w:hAnsi="宋体" w:eastAsia="楷体_GB2312"/>
          <w:b/>
          <w:color w:val="000000"/>
          <w:kern w:val="0"/>
          <w:sz w:val="24"/>
          <w:szCs w:val="24"/>
        </w:rPr>
        <w:t>十、</w:t>
      </w:r>
      <w:r>
        <w:rPr>
          <w:rFonts w:hint="eastAsia" w:ascii="楷体" w:hAnsi="楷体" w:eastAsia="楷体"/>
          <w:b/>
          <w:color w:val="000000"/>
          <w:sz w:val="24"/>
          <w:szCs w:val="24"/>
        </w:rPr>
        <w:t>补充条款</w:t>
      </w:r>
    </w:p>
    <w:p>
      <w:pPr>
        <w:pStyle w:val="2"/>
        <w:spacing w:after="0" w:line="440" w:lineRule="exact"/>
        <w:ind w:firstLine="482" w:firstLineChars="200"/>
        <w:rPr>
          <w:rFonts w:ascii="楷体" w:hAnsi="楷体" w:eastAsia="楷体"/>
          <w:b/>
          <w:color w:val="000000"/>
          <w:sz w:val="24"/>
          <w:szCs w:val="24"/>
        </w:rPr>
      </w:pPr>
      <w:r>
        <w:rPr>
          <w:rFonts w:hint="eastAsia" w:ascii="楷体" w:hAnsi="楷体" w:eastAsia="楷体"/>
          <w:b/>
          <w:color w:val="000000"/>
          <w:sz w:val="24"/>
          <w:szCs w:val="24"/>
        </w:rPr>
        <w:t>（一）合规条款</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2、履约行为合规承诺：乙方承诺具有履行本承诺书约定的能力，且履行行为符合现行法律法规等规范性文件的要求。</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5、劳动用工:</w:t>
      </w:r>
      <w:r>
        <w:rPr>
          <w:rFonts w:hint="eastAsia"/>
          <w:sz w:val="20"/>
          <w:szCs w:val="22"/>
        </w:rPr>
        <w:t xml:space="preserve"> </w:t>
      </w:r>
      <w:r>
        <w:rPr>
          <w:rFonts w:hint="eastAsia" w:ascii="楷体" w:hAnsi="楷体" w:eastAsia="楷体"/>
          <w:color w:val="000000"/>
          <w:sz w:val="24"/>
          <w:szCs w:val="24"/>
        </w:rPr>
        <w:t>乙方承诺不雇佣、使用童工，保障其员工的劳动合法权益，不纵容、支持、实施歧视、威胁员工的行为或发布相关言论。</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4"/>
          <w:szCs w:val="24"/>
        </w:rPr>
        <w:t>】所有。</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7、</w:t>
      </w:r>
      <w:r>
        <w:rPr>
          <w:rFonts w:hint="eastAsia" w:ascii="楷体" w:hAnsi="楷体" w:eastAsia="楷体"/>
          <w:color w:val="000000"/>
          <w:sz w:val="24"/>
          <w:szCs w:val="24"/>
        </w:rPr>
        <w:t>严格约束乙方员工及其代理人：乙方承诺严格遵守合规承诺条款，若乙方员工及乙方的代理人或代理机构违反相关承诺即视为乙方违反。</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8</w:t>
      </w:r>
      <w:r>
        <w:rPr>
          <w:rFonts w:hint="eastAsia" w:ascii="楷体" w:hAnsi="楷体" w:eastAsia="楷体"/>
          <w:color w:val="000000"/>
          <w:sz w:val="24"/>
          <w:szCs w:val="24"/>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480" w:firstLineChars="200"/>
        <w:rPr>
          <w:rFonts w:ascii="楷体" w:hAnsi="楷体" w:eastAsia="楷体"/>
          <w:color w:val="000000"/>
          <w:sz w:val="24"/>
          <w:szCs w:val="24"/>
        </w:rPr>
      </w:pPr>
      <w:r>
        <w:rPr>
          <w:rFonts w:ascii="楷体" w:hAnsi="楷体" w:eastAsia="楷体"/>
          <w:color w:val="000000"/>
          <w:sz w:val="24"/>
          <w:szCs w:val="24"/>
        </w:rPr>
        <w:t>9</w:t>
      </w:r>
      <w:r>
        <w:rPr>
          <w:rFonts w:hint="eastAsia" w:ascii="楷体" w:hAnsi="楷体" w:eastAsia="楷体"/>
          <w:color w:val="000000"/>
          <w:sz w:val="24"/>
          <w:szCs w:val="24"/>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1</w:t>
      </w:r>
      <w:r>
        <w:rPr>
          <w:rFonts w:ascii="楷体" w:hAnsi="楷体" w:eastAsia="楷体"/>
          <w:color w:val="000000"/>
          <w:sz w:val="24"/>
          <w:szCs w:val="24"/>
        </w:rPr>
        <w:t>0</w:t>
      </w:r>
      <w:r>
        <w:rPr>
          <w:rFonts w:hint="eastAsia" w:ascii="楷体" w:hAnsi="楷体" w:eastAsia="楷体"/>
          <w:color w:val="000000"/>
          <w:sz w:val="24"/>
          <w:szCs w:val="24"/>
        </w:rPr>
        <w:t>、责任承担：如果乙方违反前述合规承诺条款，甲方有权要求乙方承担因此而给甲方造成的全部损失。</w:t>
      </w:r>
    </w:p>
    <w:p>
      <w:pPr>
        <w:pStyle w:val="2"/>
        <w:spacing w:after="0" w:line="440" w:lineRule="exact"/>
        <w:ind w:firstLine="480" w:firstLineChars="200"/>
        <w:rPr>
          <w:rFonts w:hint="eastAsia" w:ascii="楷体" w:hAnsi="楷体" w:eastAsia="楷体"/>
          <w:color w:val="000000"/>
          <w:sz w:val="24"/>
          <w:szCs w:val="24"/>
        </w:rPr>
      </w:pPr>
      <w:r>
        <w:rPr>
          <w:rFonts w:hint="eastAsia" w:ascii="楷体" w:hAnsi="楷体" w:eastAsia="楷体"/>
          <w:color w:val="000000"/>
          <w:sz w:val="24"/>
          <w:szCs w:val="24"/>
        </w:rPr>
        <w:t>1</w:t>
      </w:r>
      <w:r>
        <w:rPr>
          <w:rFonts w:ascii="楷体" w:hAnsi="楷体" w:eastAsia="楷体"/>
          <w:color w:val="000000"/>
          <w:sz w:val="24"/>
          <w:szCs w:val="24"/>
        </w:rPr>
        <w:t>2</w:t>
      </w:r>
      <w:r>
        <w:rPr>
          <w:rFonts w:hint="eastAsia" w:ascii="楷体" w:hAnsi="楷体" w:eastAsia="楷体"/>
          <w:color w:val="000000"/>
          <w:sz w:val="24"/>
          <w:szCs w:val="24"/>
        </w:rPr>
        <w:t>、适用原则：本承诺书中合规条款对乙方的要求与承诺书中其他条款不一致的，以对乙方要求更高的条款为准。</w:t>
      </w:r>
    </w:p>
    <w:p>
      <w:pPr>
        <w:pStyle w:val="2"/>
        <w:spacing w:after="0" w:line="440" w:lineRule="exact"/>
        <w:ind w:firstLine="482" w:firstLineChars="200"/>
        <w:rPr>
          <w:rFonts w:ascii="楷体" w:hAnsi="楷体" w:eastAsia="楷体"/>
          <w:b/>
          <w:color w:val="000000"/>
          <w:sz w:val="24"/>
          <w:szCs w:val="24"/>
        </w:rPr>
      </w:pPr>
      <w:r>
        <w:rPr>
          <w:rFonts w:hint="eastAsia" w:ascii="楷体" w:hAnsi="楷体" w:eastAsia="楷体"/>
          <w:b/>
          <w:color w:val="000000"/>
          <w:sz w:val="24"/>
          <w:szCs w:val="24"/>
        </w:rPr>
        <w:t>（二）环境保护</w:t>
      </w:r>
    </w:p>
    <w:p>
      <w:pPr>
        <w:spacing w:line="440" w:lineRule="exact"/>
        <w:ind w:firstLine="480" w:firstLineChars="200"/>
        <w:rPr>
          <w:rFonts w:ascii="楷体" w:hAnsi="楷体" w:eastAsia="楷体"/>
          <w:sz w:val="24"/>
          <w:szCs w:val="24"/>
        </w:rPr>
      </w:pPr>
      <w:r>
        <w:rPr>
          <w:rFonts w:hint="eastAsia" w:ascii="楷体" w:hAnsi="楷体" w:eastAsia="楷体"/>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ascii="楷体" w:hAnsi="楷体" w:eastAsia="楷体"/>
          <w:b/>
          <w:sz w:val="24"/>
          <w:szCs w:val="24"/>
        </w:rPr>
      </w:pPr>
      <w:r>
        <w:rPr>
          <w:rFonts w:hint="eastAsia" w:ascii="楷体" w:hAnsi="楷体" w:eastAsia="楷体"/>
          <w:b/>
          <w:sz w:val="24"/>
          <w:szCs w:val="24"/>
        </w:rPr>
        <w:t>（三）附件法律效力条款</w:t>
      </w:r>
    </w:p>
    <w:p>
      <w:pPr>
        <w:widowControl/>
        <w:adjustRightInd w:val="0"/>
        <w:snapToGrid w:val="0"/>
        <w:spacing w:line="440" w:lineRule="exact"/>
        <w:ind w:firstLine="480" w:firstLineChars="200"/>
        <w:textAlignment w:val="baseline"/>
        <w:rPr>
          <w:rFonts w:hint="eastAsia" w:ascii="楷体_GB2312" w:hAnsi="宋体" w:eastAsia="楷体_GB2312"/>
          <w:color w:val="000000"/>
          <w:kern w:val="0"/>
          <w:sz w:val="24"/>
          <w:szCs w:val="24"/>
        </w:rPr>
      </w:pPr>
      <w:r>
        <w:rPr>
          <w:rFonts w:hint="eastAsia" w:ascii="楷体" w:hAnsi="楷体" w:eastAsia="楷体"/>
          <w:sz w:val="24"/>
          <w:szCs w:val="24"/>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十一、适用法律</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本承诺书适用中华人民共和国法律，因本承诺书引起或与本承诺书有关的任何争议，应由双方友好协商解决，协商不成的，双方同意选择</w:t>
      </w:r>
      <w:r>
        <w:rPr>
          <w:rFonts w:hint="eastAsia" w:ascii="楷体_GB2312" w:hAnsi="宋体" w:eastAsia="楷体_GB2312"/>
          <w:color w:val="000000"/>
          <w:kern w:val="0"/>
          <w:sz w:val="24"/>
          <w:szCs w:val="24"/>
          <w:lang w:val="en-US" w:eastAsia="zh-CN"/>
        </w:rPr>
        <w:t>以下</w:t>
      </w:r>
      <w:r>
        <w:rPr>
          <w:rFonts w:hint="eastAsia" w:ascii="楷体_GB2312" w:hAnsi="宋体" w:eastAsia="楷体_GB2312"/>
          <w:color w:val="000000"/>
          <w:kern w:val="0"/>
          <w:sz w:val="24"/>
          <w:szCs w:val="24"/>
        </w:rPr>
        <w:t>方式解决：</w:t>
      </w:r>
    </w:p>
    <w:p>
      <w:pPr>
        <w:spacing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向呼和浩特仲裁委员会申请仲裁。因仲裁产生的包括但不限于仲裁费、律师费、调查费、差旅费等，由乙方承担。</w:t>
      </w:r>
    </w:p>
    <w:p>
      <w:pPr>
        <w:pStyle w:val="2"/>
        <w:spacing w:before="156" w:beforeLines="50" w:after="156" w:afterLines="50" w:line="440" w:lineRule="exact"/>
        <w:rPr>
          <w:rFonts w:hint="eastAsia" w:ascii="楷体_GB2312" w:hAnsi="宋体" w:eastAsia="楷体_GB2312"/>
          <w:b/>
          <w:color w:val="000000"/>
          <w:kern w:val="0"/>
          <w:sz w:val="24"/>
          <w:szCs w:val="24"/>
        </w:rPr>
      </w:pPr>
      <w:r>
        <w:rPr>
          <w:rFonts w:hint="eastAsia" w:ascii="楷体_GB2312" w:hAnsi="宋体" w:eastAsia="楷体_GB2312"/>
          <w:b/>
          <w:color w:val="000000"/>
          <w:kern w:val="0"/>
          <w:sz w:val="24"/>
          <w:szCs w:val="24"/>
        </w:rPr>
        <w:t>十二、违约责任及救济</w:t>
      </w:r>
    </w:p>
    <w:p>
      <w:pPr>
        <w:spacing w:line="440" w:lineRule="exact"/>
        <w:ind w:firstLine="480" w:firstLineChars="200"/>
        <w:rPr>
          <w:rFonts w:ascii="楷体_GB2312" w:hAnsi="宋体" w:eastAsia="楷体_GB2312"/>
          <w:color w:val="000000"/>
          <w:kern w:val="0"/>
          <w:sz w:val="24"/>
          <w:szCs w:val="24"/>
        </w:rPr>
      </w:pPr>
      <w:r>
        <w:rPr>
          <w:rFonts w:hint="eastAsia" w:ascii="楷体_GB2312" w:hAnsi="宋体" w:eastAsia="楷体_GB2312"/>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hint="eastAsia" w:ascii="楷体" w:hAnsi="楷体" w:eastAsia="楷体"/>
          <w:color w:val="000000"/>
          <w:kern w:val="0"/>
          <w:sz w:val="24"/>
          <w:szCs w:val="24"/>
        </w:rPr>
      </w:pPr>
      <w:r>
        <w:rPr>
          <w:rFonts w:hint="eastAsia" w:ascii="楷体" w:hAnsi="楷体" w:eastAsia="楷体"/>
          <w:b/>
          <w:color w:val="000000"/>
          <w:kern w:val="0"/>
          <w:sz w:val="24"/>
          <w:szCs w:val="24"/>
        </w:rPr>
        <w:t>如果</w:t>
      </w:r>
      <w:r>
        <w:rPr>
          <w:rFonts w:hint="eastAsia" w:ascii="楷体" w:hAnsi="楷体" w:eastAsia="楷体"/>
          <w:b/>
          <w:bCs/>
          <w:color w:val="000000"/>
          <w:kern w:val="0"/>
          <w:sz w:val="24"/>
          <w:szCs w:val="24"/>
        </w:rPr>
        <w:t>乙方</w:t>
      </w:r>
      <w:r>
        <w:rPr>
          <w:rFonts w:hint="eastAsia" w:ascii="楷体" w:hAnsi="楷体" w:eastAsia="楷体"/>
          <w:b/>
          <w:color w:val="000000"/>
          <w:kern w:val="0"/>
          <w:sz w:val="24"/>
          <w:szCs w:val="24"/>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4"/>
          <w:szCs w:val="24"/>
        </w:rPr>
      </w:pPr>
      <w:r>
        <w:rPr>
          <w:rFonts w:hint="eastAsia" w:ascii="楷体_GB2312" w:hAnsi="宋体" w:eastAsia="楷体_GB2312"/>
          <w:b/>
          <w:color w:val="000000"/>
          <w:kern w:val="0"/>
          <w:sz w:val="24"/>
          <w:szCs w:val="24"/>
        </w:rPr>
        <w:t>十三、生效及份数</w:t>
      </w:r>
    </w:p>
    <w:p>
      <w:pPr>
        <w:pStyle w:val="2"/>
        <w:spacing w:before="156" w:beforeLines="50" w:after="156" w:afterLines="50" w:line="440" w:lineRule="exact"/>
        <w:ind w:firstLine="480" w:firstLineChars="200"/>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本承诺书经乙方签字盖章之日起生效。</w:t>
      </w:r>
    </w:p>
    <w:p>
      <w:pPr>
        <w:spacing w:line="440" w:lineRule="exact"/>
        <w:ind w:left="360"/>
        <w:rPr>
          <w:rFonts w:hint="eastAsia" w:ascii="楷体_GB2312" w:hAnsi="宋体" w:eastAsia="楷体_GB2312"/>
          <w:b/>
          <w:bCs/>
          <w:sz w:val="24"/>
          <w:szCs w:val="24"/>
        </w:rPr>
      </w:pPr>
    </w:p>
    <w:p>
      <w:pPr>
        <w:widowControl/>
        <w:adjustRightInd w:val="0"/>
        <w:snapToGrid w:val="0"/>
        <w:spacing w:line="440" w:lineRule="exact"/>
        <w:textAlignment w:val="baseline"/>
        <w:rPr>
          <w:rFonts w:hint="eastAsia" w:ascii="楷体_GB2312" w:hAnsi="宋体" w:eastAsia="楷体_GB2312"/>
          <w:color w:val="000000"/>
          <w:kern w:val="0"/>
          <w:sz w:val="24"/>
          <w:szCs w:val="24"/>
        </w:rPr>
      </w:pPr>
      <w:r>
        <w:rPr>
          <w:rFonts w:hint="eastAsia" w:ascii="仿宋_GB2312" w:hAnsi="宋体" w:eastAsia="仿宋_GB2312"/>
          <w:color w:val="000000"/>
          <w:kern w:val="0"/>
          <w:sz w:val="24"/>
          <w:szCs w:val="24"/>
        </w:rPr>
        <w:t>（以下无正文）</w:t>
      </w:r>
    </w:p>
    <w:p>
      <w:pPr>
        <w:widowControl/>
        <w:adjustRightInd w:val="0"/>
        <w:snapToGrid w:val="0"/>
        <w:spacing w:line="440" w:lineRule="exact"/>
        <w:textAlignment w:val="baseline"/>
        <w:rPr>
          <w:rFonts w:hint="eastAsia" w:ascii="楷体_GB2312" w:hAnsi="宋体" w:eastAsia="楷体_GB2312"/>
          <w:color w:val="000000"/>
          <w:kern w:val="0"/>
          <w:sz w:val="24"/>
          <w:szCs w:val="24"/>
        </w:rPr>
      </w:pPr>
      <w:r>
        <w:rPr>
          <w:rFonts w:hint="eastAsia" w:ascii="楷体_GB2312" w:hAnsi="宋体" w:eastAsia="楷体_GB2312"/>
          <w:color w:val="000000"/>
          <w:kern w:val="0"/>
          <w:sz w:val="24"/>
          <w:szCs w:val="24"/>
        </w:rPr>
        <w:t xml:space="preserve">    </w:t>
      </w:r>
      <w:r>
        <w:rPr>
          <w:rFonts w:hint="eastAsia" w:ascii="楷体_GB2312" w:hAnsi="宋体" w:eastAsia="楷体_GB2312"/>
          <w:color w:val="000000"/>
          <w:kern w:val="0"/>
          <w:sz w:val="24"/>
          <w:szCs w:val="24"/>
        </w:rPr>
        <w:tab/>
      </w:r>
      <w:r>
        <w:rPr>
          <w:rFonts w:hint="eastAsia" w:ascii="楷体_GB2312" w:hAnsi="宋体" w:eastAsia="楷体_GB2312"/>
          <w:color w:val="000000"/>
          <w:kern w:val="0"/>
          <w:sz w:val="24"/>
          <w:szCs w:val="24"/>
        </w:rPr>
        <w:tab/>
      </w:r>
      <w:r>
        <w:rPr>
          <w:rFonts w:hint="eastAsia" w:ascii="楷体_GB2312" w:hAnsi="宋体" w:eastAsia="楷体_GB2312"/>
          <w:color w:val="000000"/>
          <w:kern w:val="0"/>
          <w:sz w:val="24"/>
          <w:szCs w:val="24"/>
        </w:rPr>
        <w:t xml:space="preserve">                            </w:t>
      </w:r>
    </w:p>
    <w:p>
      <w:pPr>
        <w:widowControl/>
        <w:adjustRightInd w:val="0"/>
        <w:snapToGrid w:val="0"/>
        <w:spacing w:line="336" w:lineRule="auto"/>
        <w:textAlignment w:val="baseline"/>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乙方（承诺方）：</w:t>
      </w:r>
    </w:p>
    <w:p>
      <w:pPr>
        <w:widowControl/>
        <w:adjustRightInd w:val="0"/>
        <w:snapToGrid w:val="0"/>
        <w:spacing w:line="336" w:lineRule="auto"/>
        <w:textAlignment w:val="baseline"/>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代表人：</w:t>
      </w:r>
    </w:p>
    <w:p>
      <w:pPr>
        <w:widowControl/>
        <w:adjustRightInd w:val="0"/>
        <w:snapToGrid w:val="0"/>
        <w:spacing w:line="336" w:lineRule="auto"/>
        <w:textAlignment w:val="baseline"/>
        <w:rPr>
          <w:rFonts w:hint="eastAsia" w:ascii="仿宋_GB2312" w:hAnsi="仿宋" w:eastAsia="仿宋_GB2312"/>
          <w:sz w:val="28"/>
          <w:szCs w:val="28"/>
        </w:rPr>
      </w:pPr>
      <w:r>
        <w:rPr>
          <w:rFonts w:hint="eastAsia" w:ascii="仿宋_GB2312" w:hAnsi="宋体" w:eastAsia="仿宋_GB2312"/>
          <w:color w:val="000000"/>
          <w:kern w:val="0"/>
          <w:sz w:val="24"/>
          <w:szCs w:val="24"/>
        </w:rPr>
        <w:t>日期：</w:t>
      </w:r>
    </w:p>
    <w:p>
      <w:pPr>
        <w:spacing w:line="440" w:lineRule="exact"/>
        <w:rPr>
          <w:rFonts w:hint="eastAsia" w:ascii="楷体_GB2312" w:hAnsi="宋体" w:eastAsia="楷体_GB2312"/>
          <w:sz w:val="28"/>
          <w:szCs w:val="28"/>
        </w:rPr>
      </w:pPr>
    </w:p>
    <w:p/>
    <w:p/>
    <w:p/>
    <w:p/>
    <w:p/>
    <w:p/>
    <w:p/>
    <w:p/>
    <w:p>
      <w:pPr>
        <w:rPr>
          <w:rFonts w:hint="eastAsia"/>
          <w:lang w:val="en-US" w:eastAsia="zh-CN"/>
        </w:rPr>
      </w:pPr>
      <w:r>
        <w:rPr>
          <w:rFonts w:hint="eastAsia"/>
          <w:lang w:val="en-US" w:eastAsia="zh-CN"/>
        </w:rPr>
        <w:t>附件2</w:t>
      </w:r>
    </w:p>
    <w:p>
      <w:pPr>
        <w:jc w:val="center"/>
        <w:rPr>
          <w:b/>
          <w:kern w:val="0"/>
          <w:sz w:val="36"/>
          <w:szCs w:val="36"/>
        </w:rPr>
      </w:pPr>
      <w:r>
        <w:rPr>
          <w:rFonts w:hint="eastAsia"/>
          <w:bCs/>
          <w:sz w:val="24"/>
        </w:rPr>
        <w:t xml:space="preserve">            </w:t>
      </w: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left"/>
        <w:rPr>
          <w:rFonts w:hint="default" w:eastAsia="宋体"/>
          <w:b/>
          <w:kern w:val="0"/>
          <w:sz w:val="24"/>
          <w:szCs w:val="24"/>
          <w:lang w:val="en-US" w:eastAsia="zh-CN"/>
        </w:rPr>
      </w:pPr>
      <w:r>
        <w:rPr>
          <w:rFonts w:hint="eastAsia"/>
          <w:b/>
          <w:kern w:val="0"/>
          <w:sz w:val="24"/>
          <w:szCs w:val="24"/>
          <w:lang w:val="en-US" w:eastAsia="zh-CN"/>
        </w:rPr>
        <w:t>附件3</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蒙牛乳业（天津）有限公司：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rPr>
          <w:rFonts w:hint="eastAsia"/>
          <w:color w:val="000000"/>
          <w:szCs w:val="21"/>
        </w:rPr>
      </w:pPr>
    </w:p>
    <w:p>
      <w:pPr>
        <w:spacing w:line="360" w:lineRule="auto"/>
        <w:jc w:val="left"/>
        <w:rPr>
          <w:rFonts w:hint="default" w:eastAsia="宋体"/>
          <w:b/>
          <w:sz w:val="22"/>
          <w:szCs w:val="22"/>
          <w:lang w:val="en-US" w:eastAsia="zh-CN"/>
        </w:rPr>
      </w:pPr>
      <w:r>
        <w:rPr>
          <w:rFonts w:hint="eastAsia"/>
          <w:b/>
          <w:sz w:val="22"/>
          <w:szCs w:val="22"/>
          <w:lang w:val="en-US" w:eastAsia="zh-CN"/>
        </w:rPr>
        <w:t>附件4</w:t>
      </w:r>
    </w:p>
    <w:p>
      <w:pPr>
        <w:spacing w:line="360" w:lineRule="auto"/>
        <w:jc w:val="center"/>
        <w:rPr>
          <w:b/>
          <w:sz w:val="32"/>
          <w:szCs w:val="32"/>
        </w:rPr>
      </w:pPr>
    </w:p>
    <w:p>
      <w:pPr>
        <w:spacing w:line="360" w:lineRule="auto"/>
        <w:jc w:val="center"/>
        <w:rPr>
          <w:b/>
          <w:sz w:val="32"/>
          <w:szCs w:val="32"/>
        </w:rPr>
      </w:pPr>
    </w:p>
    <w:p>
      <w:pPr>
        <w:spacing w:line="360" w:lineRule="auto"/>
        <w:jc w:val="center"/>
        <w:rPr>
          <w:rFonts w:hint="eastAsia"/>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b/>
          <w:sz w:val="32"/>
          <w:szCs w:val="32"/>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4531B4D"/>
    <w:rsid w:val="199E7EB8"/>
    <w:rsid w:val="1DF31440"/>
    <w:rsid w:val="20B87571"/>
    <w:rsid w:val="22E25C50"/>
    <w:rsid w:val="276E2ACE"/>
    <w:rsid w:val="3DAF66CD"/>
    <w:rsid w:val="4DB964C1"/>
    <w:rsid w:val="4E0D419D"/>
    <w:rsid w:val="51660D04"/>
    <w:rsid w:val="524E5317"/>
    <w:rsid w:val="56563605"/>
    <w:rsid w:val="589C27FC"/>
    <w:rsid w:val="59E7340A"/>
    <w:rsid w:val="5B3208A9"/>
    <w:rsid w:val="62EB22FE"/>
    <w:rsid w:val="64DA343C"/>
    <w:rsid w:val="6B5477F9"/>
    <w:rsid w:val="6C024E76"/>
    <w:rsid w:val="73F60BAF"/>
    <w:rsid w:val="7407105E"/>
    <w:rsid w:val="758F12BD"/>
    <w:rsid w:val="7A7E25A0"/>
    <w:rsid w:val="7AF27882"/>
    <w:rsid w:val="7B191EC6"/>
    <w:rsid w:val="7D53243E"/>
    <w:rsid w:val="7F1D1904"/>
    <w:rsid w:val="7F5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1834</Words>
  <Characters>2054</Characters>
  <Lines>0</Lines>
  <Paragraphs>0</Paragraphs>
  <TotalTime>7</TotalTime>
  <ScaleCrop>false</ScaleCrop>
  <LinksUpToDate>false</LinksUpToDate>
  <CharactersWithSpaces>2082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刘锡飞</cp:lastModifiedBy>
  <dcterms:modified xsi:type="dcterms:W3CDTF">2023-09-12T07:30:14Z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E9E3599D55E94223B1C580B5D716A1B0</vt:lpwstr>
  </property>
</Properties>
</file>