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360" w:lineRule="auto"/>
        <w:jc w:val="center"/>
        <w:rPr>
          <w:rFonts w:ascii="宋体" w:hAnsi="宋体" w:cs="宋体"/>
          <w:b/>
          <w:bCs/>
          <w:kern w:val="0"/>
          <w:sz w:val="30"/>
          <w:szCs w:val="30"/>
        </w:rPr>
      </w:pPr>
      <w:r>
        <w:rPr>
          <w:rFonts w:hint="eastAsia" w:ascii="宋体" w:hAnsi="宋体" w:cs="宋体"/>
          <w:b/>
          <w:bCs/>
          <w:kern w:val="0"/>
          <w:sz w:val="30"/>
          <w:szCs w:val="30"/>
        </w:rPr>
        <w:t>蒙牛乳业低温武汉工厂灌装臭氧杀菌设备采购项目</w:t>
      </w:r>
    </w:p>
    <w:p>
      <w:pPr>
        <w:widowControl/>
        <w:shd w:val="clear" w:color="auto" w:fill="FFFFFF"/>
        <w:snapToGrid w:val="0"/>
        <w:spacing w:line="360" w:lineRule="auto"/>
        <w:jc w:val="center"/>
        <w:rPr>
          <w:rFonts w:ascii="宋体" w:hAnsi="宋体" w:cs="宋体"/>
          <w:b/>
          <w:bCs/>
          <w:kern w:val="0"/>
          <w:sz w:val="30"/>
          <w:szCs w:val="30"/>
        </w:rPr>
      </w:pPr>
      <w:r>
        <w:rPr>
          <w:rFonts w:hint="eastAsia" w:ascii="宋体" w:hAnsi="宋体" w:cs="宋体"/>
          <w:b/>
          <w:bCs/>
          <w:kern w:val="0"/>
          <w:sz w:val="30"/>
          <w:szCs w:val="30"/>
        </w:rPr>
        <w:t>询比价信息公告</w:t>
      </w:r>
    </w:p>
    <w:p>
      <w:pPr>
        <w:widowControl/>
        <w:shd w:val="clear" w:color="auto" w:fill="FFFFFF"/>
        <w:snapToGrid w:val="0"/>
        <w:spacing w:line="360" w:lineRule="auto"/>
        <w:jc w:val="center"/>
        <w:rPr>
          <w:rFonts w:ascii="宋体" w:hAnsi="宋体" w:cs="宋体"/>
          <w:b/>
          <w:bCs/>
          <w:kern w:val="0"/>
          <w:sz w:val="30"/>
          <w:szCs w:val="30"/>
        </w:rPr>
      </w:pP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蒙牛高科乳制品武汉有限责任公司就蒙牛乳业低温武汉工厂灌装臭氧杀菌设备采购项目进行询比价, 欢迎符合资格条件的供应商参加。</w:t>
      </w:r>
    </w:p>
    <w:p>
      <w:pPr>
        <w:spacing w:line="360" w:lineRule="auto"/>
        <w:ind w:firstLine="480" w:firstLineChars="200"/>
        <w:rPr>
          <w:rFonts w:ascii="宋体" w:hAnsi="宋体"/>
          <w:b/>
          <w:sz w:val="24"/>
        </w:rPr>
      </w:pPr>
      <w:r>
        <w:rPr>
          <w:rFonts w:hint="eastAsia" w:ascii="宋体" w:hAnsi="宋体"/>
          <w:b/>
          <w:sz w:val="24"/>
        </w:rPr>
        <w:t>一、项目编号：MNCGJH-20230921-0013</w:t>
      </w:r>
    </w:p>
    <w:p>
      <w:pPr>
        <w:spacing w:line="360" w:lineRule="auto"/>
        <w:ind w:firstLine="480" w:firstLineChars="200"/>
        <w:rPr>
          <w:rFonts w:ascii="宋体" w:hAnsi="宋体"/>
          <w:b/>
          <w:color w:val="000000" w:themeColor="text1"/>
          <w:sz w:val="24"/>
          <w14:textFill>
            <w14:solidFill>
              <w14:schemeClr w14:val="tx1"/>
            </w14:solidFill>
          </w14:textFill>
        </w:rPr>
      </w:pPr>
      <w:r>
        <w:rPr>
          <w:rFonts w:hint="eastAsia" w:ascii="宋体" w:hAnsi="宋体"/>
          <w:b/>
          <w:sz w:val="24"/>
        </w:rPr>
        <w:t>二、项目名称</w:t>
      </w:r>
      <w:r>
        <w:rPr>
          <w:rFonts w:hint="eastAsia" w:ascii="宋体" w:hAnsi="宋体"/>
          <w:b/>
          <w:color w:val="000000" w:themeColor="text1"/>
          <w:sz w:val="24"/>
          <w14:textFill>
            <w14:solidFill>
              <w14:schemeClr w14:val="tx1"/>
            </w14:solidFill>
          </w14:textFill>
        </w:rPr>
        <w:t>：</w:t>
      </w:r>
      <w:r>
        <w:rPr>
          <w:rFonts w:hint="eastAsia" w:asciiTheme="minorEastAsia" w:hAnsiTheme="minorEastAsia" w:eastAsiaTheme="minorEastAsia"/>
          <w:b/>
          <w:sz w:val="24"/>
        </w:rPr>
        <w:t>蒙牛乳业低温武汉工厂灌装臭氧杀菌设备采购项目</w:t>
      </w:r>
    </w:p>
    <w:p>
      <w:pPr>
        <w:spacing w:line="360" w:lineRule="auto"/>
        <w:ind w:firstLine="480"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三、项目概况：</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为了提升灌装间洁净环境，需要增加4套臭氧消毒设备，对总体积为40000m³罐装车间及果粒车间消毒杀菌，灌装间现有8套空调，总风量为500000m³/小时，要求满足灌装间在30min内臭氧浓度达到10ppm效果，故申请采招。</w:t>
      </w:r>
    </w:p>
    <w:p>
      <w:pPr>
        <w:spacing w:line="360" w:lineRule="auto"/>
        <w:ind w:firstLine="480"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四、资格要求：</w:t>
      </w:r>
    </w:p>
    <w:p>
      <w:pPr>
        <w:spacing w:line="360" w:lineRule="auto"/>
        <w:ind w:right="84" w:rightChars="40" w:firstLine="484" w:firstLineChars="202"/>
        <w:rPr>
          <w:rFonts w:ascii="宋体" w:hAnsi="宋体"/>
          <w:color w:val="FF0000"/>
          <w:sz w:val="24"/>
        </w:rPr>
      </w:pPr>
      <w:r>
        <w:rPr>
          <w:rFonts w:hint="eastAsia" w:ascii="宋体" w:hAnsi="宋体"/>
          <w:sz w:val="24"/>
        </w:rPr>
        <w:t>1.供应商须在中华人民共和国境内注册并具有独立法人资格，具有有效的营业执照、税务登记证、组织机构代码证（或多证合一）；</w:t>
      </w:r>
    </w:p>
    <w:p>
      <w:pPr>
        <w:pStyle w:val="10"/>
        <w:spacing w:line="360" w:lineRule="auto"/>
        <w:ind w:firstLine="480" w:firstLineChars="200"/>
        <w:rPr>
          <w:rFonts w:cs="Times New Roman"/>
          <w:kern w:val="2"/>
        </w:rPr>
      </w:pPr>
      <w:r>
        <w:rPr>
          <w:rFonts w:hint="eastAsia" w:cs="Times New Roman"/>
          <w:kern w:val="2"/>
        </w:rPr>
        <w:t>2、竞谈人应具备开具增值税专用发票的资格（开具的发票或一般纳税人认定证明）；</w:t>
      </w:r>
    </w:p>
    <w:p>
      <w:pPr>
        <w:pStyle w:val="10"/>
        <w:spacing w:line="360" w:lineRule="auto"/>
        <w:ind w:firstLine="480" w:firstLineChars="200"/>
        <w:rPr>
          <w:rFonts w:cs="Times New Roman"/>
          <w:kern w:val="2"/>
        </w:rPr>
      </w:pPr>
      <w:r>
        <w:rPr>
          <w:rFonts w:cs="Times New Roman"/>
          <w:kern w:val="2"/>
        </w:rPr>
        <w:t>3</w:t>
      </w:r>
      <w:r>
        <w:rPr>
          <w:rFonts w:hint="eastAsia" w:cs="Times New Roman"/>
          <w:kern w:val="2"/>
        </w:rPr>
        <w:t>、竞谈人近二年须具有良好的商业信誉和财务状况；</w:t>
      </w:r>
    </w:p>
    <w:p>
      <w:pPr>
        <w:pStyle w:val="10"/>
        <w:spacing w:line="360" w:lineRule="auto"/>
        <w:ind w:firstLine="480" w:firstLineChars="200"/>
        <w:rPr>
          <w:rFonts w:cs="Times New Roman"/>
          <w:kern w:val="2"/>
        </w:rPr>
      </w:pPr>
      <w:r>
        <w:rPr>
          <w:rFonts w:cs="Times New Roman"/>
          <w:kern w:val="2"/>
        </w:rPr>
        <w:t>4</w:t>
      </w:r>
      <w:r>
        <w:rPr>
          <w:rFonts w:hint="eastAsia" w:cs="Times New Roman"/>
          <w:kern w:val="2"/>
        </w:rPr>
        <w:t>、竞谈人未被列入国家企业信用信息公示系统（http://www.gsxt.gov.cn/index.html）严重违法失信企业名单；</w:t>
      </w:r>
    </w:p>
    <w:p>
      <w:pPr>
        <w:pStyle w:val="10"/>
        <w:spacing w:line="360" w:lineRule="auto"/>
        <w:ind w:firstLine="480" w:firstLineChars="200"/>
        <w:rPr>
          <w:rFonts w:cs="Times New Roman"/>
          <w:kern w:val="2"/>
        </w:rPr>
      </w:pPr>
      <w:r>
        <w:rPr>
          <w:rFonts w:cs="Times New Roman"/>
          <w:kern w:val="2"/>
        </w:rPr>
        <w:t>5</w:t>
      </w:r>
      <w:r>
        <w:rPr>
          <w:rFonts w:hint="eastAsia" w:cs="Times New Roman"/>
          <w:kern w:val="2"/>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谈人参与竞谈；</w:t>
      </w:r>
    </w:p>
    <w:p>
      <w:pPr>
        <w:pStyle w:val="10"/>
        <w:spacing w:line="360" w:lineRule="auto"/>
        <w:ind w:firstLine="480" w:firstLineChars="200"/>
        <w:rPr>
          <w:rFonts w:cs="Times New Roman"/>
          <w:kern w:val="2"/>
        </w:rPr>
      </w:pPr>
      <w:r>
        <w:rPr>
          <w:rFonts w:cs="Times New Roman"/>
          <w:kern w:val="2"/>
        </w:rPr>
        <w:t>6</w:t>
      </w:r>
      <w:r>
        <w:rPr>
          <w:rFonts w:hint="eastAsia" w:cs="Times New Roman"/>
          <w:kern w:val="2"/>
        </w:rPr>
        <w:t>.本次询比价不接受多家单位联合报价，不允许分包或转包；</w:t>
      </w:r>
    </w:p>
    <w:p>
      <w:pPr>
        <w:pStyle w:val="10"/>
        <w:spacing w:line="360" w:lineRule="auto"/>
        <w:ind w:firstLine="480" w:firstLineChars="200"/>
      </w:pPr>
      <w:r>
        <w:rPr>
          <w:rFonts w:cs="Times New Roman"/>
          <w:kern w:val="2"/>
        </w:rPr>
        <w:t>7</w:t>
      </w:r>
      <w:r>
        <w:rPr>
          <w:rFonts w:hint="eastAsia" w:cs="Times New Roman"/>
          <w:kern w:val="2"/>
        </w:rPr>
        <w:t>.不接受中粮及蒙牛供应商黑名单（以蒙牛集团采购执行管理部下发的黑名</w:t>
      </w:r>
      <w:r>
        <w:rPr>
          <w:rFonts w:hint="eastAsia"/>
        </w:rPr>
        <w:t>单为准）的企业参与竞争。</w:t>
      </w:r>
    </w:p>
    <w:p>
      <w:pPr>
        <w:spacing w:line="360" w:lineRule="auto"/>
        <w:ind w:firstLine="480"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五、报名要求</w:t>
      </w:r>
    </w:p>
    <w:p>
      <w:pPr>
        <w:pStyle w:val="10"/>
        <w:shd w:val="clear" w:color="auto" w:fill="FFFFFF"/>
        <w:spacing w:before="0" w:beforeAutospacing="0" w:after="0" w:afterAutospacing="0" w:line="360" w:lineRule="auto"/>
        <w:ind w:firstLine="480" w:firstLineChars="200"/>
        <w:textAlignment w:val="baseline"/>
        <w:rPr>
          <w:rFonts w:asciiTheme="minorEastAsia" w:hAnsiTheme="minorEastAsia" w:eastAsiaTheme="minorEastAsia"/>
          <w:b/>
          <w:color w:val="323232"/>
        </w:rPr>
      </w:pPr>
      <w:r>
        <w:rPr>
          <w:rStyle w:val="14"/>
          <w:rFonts w:hint="eastAsia" w:asciiTheme="minorEastAsia" w:hAnsiTheme="minorEastAsia" w:eastAsiaTheme="minorEastAsia"/>
          <w:b w:val="0"/>
          <w:color w:val="323232"/>
        </w:rPr>
        <w:t>首先，注册成为潜在供应商：</w:t>
      </w:r>
    </w:p>
    <w:p>
      <w:pPr>
        <w:pStyle w:val="10"/>
        <w:shd w:val="clear" w:color="auto" w:fill="FFFFFF"/>
        <w:spacing w:before="0" w:beforeAutospacing="0" w:after="0" w:afterAutospacing="0" w:line="360" w:lineRule="auto"/>
        <w:ind w:firstLine="480" w:firstLineChars="200"/>
        <w:textAlignment w:val="baseline"/>
        <w:rPr>
          <w:rFonts w:asciiTheme="minorEastAsia" w:hAnsiTheme="minorEastAsia" w:eastAsiaTheme="minorEastAsia"/>
          <w:color w:val="323232"/>
        </w:rPr>
      </w:pPr>
      <w:r>
        <w:rPr>
          <w:rFonts w:hint="eastAsia" w:asciiTheme="minorEastAsia" w:hAnsiTheme="minorEastAsia" w:eastAsiaTheme="minorEastAsia"/>
          <w:color w:val="323232"/>
        </w:rPr>
        <w:t>潜在投标人符合资格条件的，请在蒙牛集团供应链关系管理平台注册成为我们潜在供应商，否则可能会影响后续合作或相关费用往来，注册网址:</w:t>
      </w:r>
      <w:r>
        <w:fldChar w:fldCharType="begin"/>
      </w:r>
      <w:r>
        <w:instrText xml:space="preserve"> HYPERLINK "https://srm.mengniu.cn/sap/bc/webdynpro/sap/zregistration" </w:instrText>
      </w:r>
      <w:r>
        <w:fldChar w:fldCharType="separate"/>
      </w:r>
      <w:r>
        <w:rPr>
          <w:rStyle w:val="15"/>
          <w:rFonts w:hint="eastAsia" w:asciiTheme="minorEastAsia" w:hAnsiTheme="minorEastAsia" w:eastAsiaTheme="minorEastAsia"/>
        </w:rPr>
        <w:t>https://srm.mengniu.cn/sap/bc/webdynpro/sap/zregistration</w:t>
      </w:r>
      <w:r>
        <w:rPr>
          <w:rStyle w:val="15"/>
          <w:rFonts w:hint="eastAsia" w:asciiTheme="minorEastAsia" w:hAnsiTheme="minorEastAsia" w:eastAsiaTheme="minorEastAsia"/>
        </w:rPr>
        <w:fldChar w:fldCharType="end"/>
      </w:r>
      <w:r>
        <w:rPr>
          <w:rFonts w:hint="eastAsia" w:asciiTheme="minorEastAsia" w:hAnsiTheme="minorEastAsia" w:eastAsiaTheme="minorEastAsia"/>
          <w:color w:val="323232"/>
        </w:rPr>
        <w:t>,注册有异议的请拨打平台服务电话4008108111或联系报名联系人。</w:t>
      </w:r>
    </w:p>
    <w:p>
      <w:pPr>
        <w:pStyle w:val="10"/>
        <w:shd w:val="clear" w:color="auto" w:fill="FFFFFF"/>
        <w:spacing w:before="0" w:beforeAutospacing="0" w:after="0" w:afterAutospacing="0" w:line="360" w:lineRule="auto"/>
        <w:textAlignment w:val="baseline"/>
        <w:rPr>
          <w:rFonts w:asciiTheme="minorEastAsia" w:hAnsiTheme="minorEastAsia" w:eastAsiaTheme="minorEastAsia"/>
          <w:color w:val="323232"/>
        </w:rPr>
      </w:pPr>
      <w:r>
        <w:rPr>
          <w:rFonts w:hint="eastAsia" w:asciiTheme="minorEastAsia" w:hAnsiTheme="minorEastAsia" w:eastAsiaTheme="minorEastAsia"/>
          <w:color w:val="323232"/>
        </w:rPr>
        <w:t>已注册且拥有蒙牛集团相关代码或主数据可以忽略此项。</w:t>
      </w:r>
    </w:p>
    <w:p>
      <w:pPr>
        <w:spacing w:line="360" w:lineRule="auto"/>
        <w:ind w:firstLine="480" w:firstLineChars="200"/>
        <w:rPr>
          <w:rFonts w:ascii="宋体" w:hAnsi="宋体" w:cs="宋体"/>
          <w:color w:val="000000"/>
          <w:kern w:val="0"/>
          <w:sz w:val="24"/>
        </w:rPr>
      </w:pPr>
      <w:r>
        <w:rPr>
          <w:rFonts w:hint="eastAsia" w:ascii="宋体" w:hAnsi="宋体" w:cs="宋体"/>
          <w:bCs/>
          <w:color w:val="000000"/>
          <w:kern w:val="0"/>
          <w:sz w:val="24"/>
        </w:rPr>
        <w:t>其次，提供报名资格文件：</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报名资格文件的组成及顺序按照如下要求提供：</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1、有效的营业执照（副本）、组织机构代码证（副本）、税务登记证（副本）（注:以上三项或三证合一营业执照副本）；</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2、能开具1</w:t>
      </w:r>
      <w:r>
        <w:rPr>
          <w:rFonts w:ascii="宋体" w:hAnsi="宋体" w:cs="宋体"/>
          <w:color w:val="000000"/>
          <w:kern w:val="0"/>
          <w:sz w:val="24"/>
        </w:rPr>
        <w:t>3</w:t>
      </w:r>
      <w:r>
        <w:rPr>
          <w:rFonts w:hint="eastAsia" w:ascii="宋体" w:hAnsi="宋体" w:cs="宋体"/>
          <w:color w:val="000000"/>
          <w:kern w:val="0"/>
          <w:sz w:val="24"/>
        </w:rPr>
        <w:t>%增值税专用发票的资格（开具的发票或一般纳税人认定证明）；</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3、提供本企业近</w:t>
      </w:r>
      <w:r>
        <w:rPr>
          <w:rFonts w:ascii="宋体" w:hAnsi="宋体" w:cs="宋体"/>
          <w:color w:val="000000"/>
          <w:kern w:val="0"/>
          <w:sz w:val="24"/>
        </w:rPr>
        <w:t>二</w:t>
      </w:r>
      <w:r>
        <w:rPr>
          <w:rFonts w:hint="eastAsia" w:ascii="宋体" w:hAnsi="宋体" w:cs="宋体"/>
          <w:color w:val="000000"/>
          <w:kern w:val="0"/>
          <w:sz w:val="24"/>
        </w:rPr>
        <w:t>年财务报表或第三方财务审计报告；</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4、法定代表人证明书或授权委托书原件；</w:t>
      </w:r>
    </w:p>
    <w:p>
      <w:pPr>
        <w:spacing w:line="360" w:lineRule="auto"/>
        <w:ind w:firstLine="480" w:firstLineChars="200"/>
        <w:rPr>
          <w:rFonts w:ascii="宋体" w:hAnsi="宋体" w:cs="宋体"/>
          <w:b/>
          <w:color w:val="000000"/>
          <w:kern w:val="0"/>
          <w:sz w:val="24"/>
        </w:rPr>
      </w:pPr>
      <w:r>
        <w:rPr>
          <w:rFonts w:hint="eastAsia" w:ascii="宋体" w:hAnsi="宋体" w:cs="宋体"/>
          <w:color w:val="000000"/>
          <w:kern w:val="0"/>
          <w:sz w:val="24"/>
        </w:rPr>
        <w:t>备注：如果法定代表人报名，请附法定代表人身份证明书（或证明）及身份证原件，如果授权委托人报名，请附授权委托书原件及身份证原件，</w:t>
      </w:r>
      <w:r>
        <w:rPr>
          <w:rFonts w:hint="eastAsia" w:ascii="宋体" w:hAnsi="宋体" w:cs="宋体"/>
          <w:b/>
          <w:color w:val="000000"/>
          <w:kern w:val="0"/>
          <w:sz w:val="24"/>
        </w:rPr>
        <w:t>另外，需提供授权委托人在本单位近一年社保缴纳的证明文件；</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5、提供近两年</w:t>
      </w:r>
      <w:r>
        <w:rPr>
          <w:rFonts w:ascii="宋体" w:hAnsi="宋体" w:cs="宋体"/>
          <w:color w:val="000000"/>
          <w:kern w:val="0"/>
          <w:sz w:val="24"/>
        </w:rPr>
        <w:t>2</w:t>
      </w:r>
      <w:r>
        <w:rPr>
          <w:rFonts w:hint="eastAsia" w:ascii="宋体" w:hAnsi="宋体" w:cs="宋体"/>
          <w:color w:val="000000"/>
          <w:kern w:val="0"/>
          <w:sz w:val="24"/>
        </w:rPr>
        <w:t>个及以上类似项目业绩的证明材料（以合同或验收报告为准）；</w:t>
      </w:r>
    </w:p>
    <w:p>
      <w:pPr>
        <w:spacing w:line="360" w:lineRule="auto"/>
        <w:ind w:firstLine="480" w:firstLineChars="200"/>
        <w:rPr>
          <w:rFonts w:ascii="宋体" w:hAnsi="宋体" w:cs="宋体"/>
          <w:b/>
          <w:color w:val="000000"/>
          <w:kern w:val="0"/>
          <w:sz w:val="24"/>
        </w:rPr>
      </w:pPr>
      <w:r>
        <w:rPr>
          <w:rFonts w:hint="eastAsia" w:ascii="宋体" w:hAnsi="宋体" w:cs="宋体"/>
          <w:color w:val="000000"/>
          <w:kern w:val="0"/>
          <w:sz w:val="24"/>
        </w:rPr>
        <w:t>6、提供“国家企业信用信息公示系统”官网（www.gsxt.gov.cn/index.html）</w:t>
      </w:r>
      <w:r>
        <w:rPr>
          <w:rFonts w:hint="eastAsia" w:ascii="宋体" w:hAnsi="宋体" w:cs="宋体"/>
          <w:b/>
          <w:color w:val="000000"/>
          <w:kern w:val="0"/>
          <w:sz w:val="24"/>
        </w:rPr>
        <w:t>违法失信企业名查询后加盖公章后提供）；</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7、付款条件：</w:t>
      </w:r>
      <w:r>
        <w:t>合同签订后，货到甲方指定地点</w:t>
      </w:r>
      <w:r>
        <w:rPr>
          <w:rFonts w:hint="eastAsia"/>
        </w:rPr>
        <w:t>安装</w:t>
      </w:r>
      <w:r>
        <w:t>验收合格后</w:t>
      </w:r>
      <w:r>
        <w:rPr>
          <w:rFonts w:hint="eastAsia"/>
        </w:rPr>
        <w:t>，</w:t>
      </w:r>
      <w:r>
        <w:t>试运行30日，由乙方开具合同全额发票甲方支付给乙方合同金额的90%；余款10%作为质保金，质保一年，质保期内设备无质量问题7个工作日支付完毕。</w:t>
      </w:r>
      <w:r>
        <w:rPr>
          <w:rFonts w:hint="eastAsia"/>
        </w:rPr>
        <w:t>（提供响应文件）</w:t>
      </w:r>
    </w:p>
    <w:p>
      <w:pPr>
        <w:spacing w:line="360" w:lineRule="auto"/>
        <w:ind w:firstLine="480" w:firstLineChars="200"/>
        <w:rPr>
          <w:rFonts w:ascii="宋体" w:hAnsi="宋体" w:cs="宋体"/>
          <w:color w:val="000000"/>
          <w:kern w:val="0"/>
          <w:sz w:val="24"/>
        </w:rPr>
      </w:pPr>
      <w:r>
        <w:rPr>
          <w:rFonts w:ascii="宋体" w:hAnsi="宋体" w:cs="宋体"/>
          <w:color w:val="000000"/>
          <w:kern w:val="0"/>
          <w:sz w:val="24"/>
        </w:rPr>
        <w:t>8</w:t>
      </w:r>
      <w:r>
        <w:rPr>
          <w:rFonts w:hint="eastAsia" w:ascii="宋体" w:hAnsi="宋体" w:cs="宋体"/>
          <w:color w:val="000000"/>
          <w:kern w:val="0"/>
          <w:sz w:val="24"/>
        </w:rPr>
        <w:t>、数据保密协议（附件</w:t>
      </w:r>
      <w:r>
        <w:rPr>
          <w:rFonts w:ascii="宋体" w:hAnsi="宋体" w:cs="宋体"/>
          <w:color w:val="000000"/>
          <w:kern w:val="0"/>
          <w:sz w:val="24"/>
        </w:rPr>
        <w:t>2</w:t>
      </w:r>
      <w:r>
        <w:rPr>
          <w:rFonts w:hint="eastAsia" w:ascii="宋体" w:hAnsi="宋体" w:cs="宋体"/>
          <w:color w:val="000000"/>
          <w:kern w:val="0"/>
          <w:sz w:val="24"/>
        </w:rPr>
        <w:t>）；</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s="宋体"/>
          <w:color w:val="000000"/>
          <w:kern w:val="0"/>
          <w:sz w:val="24"/>
        </w:rPr>
        <w:t>以上各类证书、证明材料应为原件的扫描件加盖公章，并按以上“组成及顺</w:t>
      </w:r>
      <w:r>
        <w:rPr>
          <w:rFonts w:hint="eastAsia" w:ascii="宋体" w:hAnsi="宋体"/>
          <w:color w:val="000000" w:themeColor="text1"/>
          <w:sz w:val="24"/>
          <w14:textFill>
            <w14:solidFill>
              <w14:schemeClr w14:val="tx1"/>
            </w14:solidFill>
          </w14:textFill>
        </w:rPr>
        <w:t>序”于资格预审截止时间之前在蒙牛集团电子采招平台网址（</w:t>
      </w:r>
      <w:r>
        <w:rPr>
          <w:rFonts w:ascii="宋体" w:hAnsi="宋体"/>
          <w:color w:val="000000" w:themeColor="text1"/>
          <w:sz w:val="24"/>
          <w14:textFill>
            <w14:solidFill>
              <w14:schemeClr w14:val="tx1"/>
            </w14:solidFill>
          </w14:textFill>
        </w:rPr>
        <w:t>https://zbcg.mengniu.cn/#/home</w:t>
      </w:r>
      <w:r>
        <w:rPr>
          <w:rFonts w:hint="eastAsia" w:ascii="宋体" w:hAnsi="宋体"/>
          <w:color w:val="000000" w:themeColor="text1"/>
          <w:sz w:val="24"/>
          <w14:textFill>
            <w14:solidFill>
              <w14:schemeClr w14:val="tx1"/>
            </w14:solidFill>
          </w14:textFill>
        </w:rPr>
        <w:t>）进行提交（过期发送不予受理）。</w:t>
      </w:r>
    </w:p>
    <w:p>
      <w:pPr>
        <w:spacing w:before="240" w:line="360" w:lineRule="auto"/>
        <w:ind w:firstLine="480" w:firstLineChars="200"/>
        <w:rPr>
          <w:rFonts w:ascii="宋体" w:hAnsi="宋体"/>
          <w:b/>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资料提供不全或者未按时间要求提报的将被拒绝接收，所提供的资质业绩文件中如有虚假情况，一经发现将被取消</w:t>
      </w:r>
      <w:r>
        <w:rPr>
          <w:rFonts w:hint="eastAsia" w:ascii="宋体" w:hAnsi="宋体"/>
          <w:color w:val="000000" w:themeColor="text1"/>
          <w:sz w:val="24"/>
          <w14:textFill>
            <w14:solidFill>
              <w14:schemeClr w14:val="tx1"/>
            </w14:solidFill>
          </w14:textFill>
        </w:rPr>
        <w:t>投标</w:t>
      </w:r>
      <w:r>
        <w:rPr>
          <w:rFonts w:ascii="宋体" w:hAnsi="宋体"/>
          <w:color w:val="000000" w:themeColor="text1"/>
          <w:sz w:val="24"/>
          <w14:textFill>
            <w14:solidFill>
              <w14:schemeClr w14:val="tx1"/>
            </w14:solidFill>
          </w14:textFill>
        </w:rPr>
        <w:t>资格。所有报名资料邮寄地址信息：</w:t>
      </w:r>
      <w:r>
        <w:rPr>
          <w:rFonts w:hint="eastAsia" w:ascii="宋体" w:hAnsi="宋体"/>
          <w:color w:val="000000" w:themeColor="text1"/>
          <w:sz w:val="24"/>
          <w:u w:val="single"/>
          <w14:textFill>
            <w14:solidFill>
              <w14:schemeClr w14:val="tx1"/>
            </w14:solidFill>
          </w14:textFill>
        </w:rPr>
        <w:t>湖北省武汉市东西湖区东吴大道2</w:t>
      </w:r>
      <w:r>
        <w:rPr>
          <w:rFonts w:ascii="宋体" w:hAnsi="宋体"/>
          <w:color w:val="000000" w:themeColor="text1"/>
          <w:sz w:val="24"/>
          <w:u w:val="single"/>
          <w14:textFill>
            <w14:solidFill>
              <w14:schemeClr w14:val="tx1"/>
            </w14:solidFill>
          </w14:textFill>
        </w:rPr>
        <w:t>7号</w:t>
      </w:r>
      <w:r>
        <w:rPr>
          <w:rFonts w:hint="eastAsia" w:ascii="宋体" w:hAnsi="宋体"/>
          <w:color w:val="000000" w:themeColor="text1"/>
          <w:sz w:val="24"/>
          <w:u w:val="single"/>
          <w14:textFill>
            <w14:solidFill>
              <w14:schemeClr w14:val="tx1"/>
            </w14:solidFill>
          </w14:textFill>
        </w:rPr>
        <w:t>蒙牛高科乳制品武汉有限责任公司（张芳</w:t>
      </w:r>
      <w:r>
        <w:rPr>
          <w:rFonts w:ascii="宋体" w:hAnsi="宋体"/>
          <w:color w:val="000000" w:themeColor="text1"/>
          <w:sz w:val="24"/>
          <w:u w:val="single"/>
          <w14:textFill>
            <w14:solidFill>
              <w14:schemeClr w14:val="tx1"/>
            </w14:solidFill>
          </w14:textFill>
        </w:rPr>
        <w:t>18995647901收</w:t>
      </w:r>
      <w:r>
        <w:rPr>
          <w:rFonts w:hint="eastAsia" w:ascii="宋体" w:hAnsi="宋体"/>
          <w:color w:val="000000" w:themeColor="text1"/>
          <w:sz w:val="24"/>
          <w:u w:val="single"/>
          <w14:textFill>
            <w14:solidFill>
              <w14:schemeClr w14:val="tx1"/>
            </w14:solidFill>
          </w14:textFill>
        </w:rPr>
        <w:t>）</w:t>
      </w:r>
    </w:p>
    <w:p>
      <w:pPr>
        <w:spacing w:line="360" w:lineRule="auto"/>
        <w:ind w:firstLine="480"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六、项目时间安排及要求：</w:t>
      </w:r>
    </w:p>
    <w:p>
      <w:pPr>
        <w:spacing w:line="360" w:lineRule="auto"/>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1、报名时间： </w:t>
      </w:r>
      <w:r>
        <w:rPr>
          <w:rFonts w:ascii="宋体" w:hAnsi="宋体"/>
          <w:color w:val="000000" w:themeColor="text1"/>
          <w:sz w:val="24"/>
          <w:u w:val="single"/>
          <w14:textFill>
            <w14:solidFill>
              <w14:schemeClr w14:val="tx1"/>
            </w14:solidFill>
          </w14:textFill>
        </w:rPr>
        <w:t>2023</w:t>
      </w:r>
      <w:r>
        <w:rPr>
          <w:rFonts w:hint="eastAsia" w:ascii="宋体" w:hAnsi="宋体"/>
          <w:color w:val="000000" w:themeColor="text1"/>
          <w:sz w:val="24"/>
          <w14:textFill>
            <w14:solidFill>
              <w14:schemeClr w14:val="tx1"/>
            </w14:solidFill>
          </w14:textFill>
        </w:rPr>
        <w:t xml:space="preserve"> 年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10</w:t>
      </w:r>
      <w:r>
        <w:rPr>
          <w:rFonts w:hint="eastAsia" w:ascii="宋体" w:hAnsi="宋体"/>
          <w:color w:val="000000" w:themeColor="text1"/>
          <w:sz w:val="24"/>
          <w14:textFill>
            <w14:solidFill>
              <w14:schemeClr w14:val="tx1"/>
            </w14:solidFill>
          </w14:textFill>
        </w:rPr>
        <w:t xml:space="preserve">月 </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9</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 至</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2023</w:t>
      </w:r>
      <w:r>
        <w:rPr>
          <w:rFonts w:hint="eastAsia" w:ascii="宋体" w:hAnsi="宋体"/>
          <w:color w:val="000000" w:themeColor="text1"/>
          <w:sz w:val="24"/>
          <w14:textFill>
            <w14:solidFill>
              <w14:schemeClr w14:val="tx1"/>
            </w14:solidFill>
          </w14:textFill>
        </w:rPr>
        <w:t xml:space="preserve"> 年 </w:t>
      </w:r>
      <w:r>
        <w:rPr>
          <w:rFonts w:hint="eastAsia" w:ascii="宋体" w:hAnsi="宋体"/>
          <w:color w:val="000000" w:themeColor="text1"/>
          <w:sz w:val="24"/>
          <w:u w:val="single"/>
          <w14:textFill>
            <w14:solidFill>
              <w14:schemeClr w14:val="tx1"/>
            </w14:solidFill>
          </w14:textFill>
        </w:rPr>
        <w:t>10</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月</w:t>
      </w:r>
      <w:r>
        <w:rPr>
          <w:rFonts w:ascii="宋体" w:hAnsi="宋体"/>
          <w:color w:val="000000" w:themeColor="text1"/>
          <w:sz w:val="24"/>
          <w:u w:val="single"/>
          <w14:textFill>
            <w14:solidFill>
              <w14:schemeClr w14:val="tx1"/>
            </w14:solidFill>
          </w14:textFill>
        </w:rPr>
        <w:t>1</w:t>
      </w:r>
      <w:r>
        <w:rPr>
          <w:rFonts w:hint="eastAsia" w:ascii="宋体" w:hAnsi="宋体"/>
          <w:color w:val="000000" w:themeColor="text1"/>
          <w:sz w:val="24"/>
          <w:u w:val="single"/>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日止；</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2、资格预审时间：</w:t>
      </w:r>
      <w:r>
        <w:rPr>
          <w:rFonts w:ascii="宋体" w:hAnsi="宋体"/>
          <w:color w:val="000000" w:themeColor="text1"/>
          <w:sz w:val="24"/>
          <w:u w:val="single"/>
          <w14:textFill>
            <w14:solidFill>
              <w14:schemeClr w14:val="tx1"/>
            </w14:solidFill>
          </w14:textFill>
        </w:rPr>
        <w:t>2023</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10</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1</w:t>
      </w:r>
      <w:r>
        <w:rPr>
          <w:rFonts w:hint="eastAsia" w:ascii="宋体" w:hAnsi="宋体"/>
          <w:color w:val="000000" w:themeColor="text1"/>
          <w:sz w:val="24"/>
          <w:u w:val="single"/>
          <w:lang w:val="en-US" w:eastAsia="zh-CN"/>
          <w14:textFill>
            <w14:solidFill>
              <w14:schemeClr w14:val="tx1"/>
            </w14:solidFill>
          </w14:textFill>
        </w:rPr>
        <w:t>5</w:t>
      </w:r>
      <w:r>
        <w:rPr>
          <w:rFonts w:hint="eastAsia" w:ascii="宋体" w:hAnsi="宋体"/>
          <w:color w:val="000000" w:themeColor="text1"/>
          <w:sz w:val="24"/>
          <w14:textFill>
            <w14:solidFill>
              <w14:schemeClr w14:val="tx1"/>
            </w14:solidFill>
          </w14:textFill>
        </w:rPr>
        <w:t xml:space="preserve">日至 </w:t>
      </w:r>
      <w:r>
        <w:rPr>
          <w:rFonts w:ascii="宋体" w:hAnsi="宋体"/>
          <w:color w:val="000000" w:themeColor="text1"/>
          <w:sz w:val="24"/>
          <w:u w:val="single"/>
          <w14:textFill>
            <w14:solidFill>
              <w14:schemeClr w14:val="tx1"/>
            </w14:solidFill>
          </w14:textFill>
        </w:rPr>
        <w:t>2023</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10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17</w:t>
      </w:r>
      <w:r>
        <w:rPr>
          <w:rFonts w:hint="eastAsia" w:ascii="宋体" w:hAnsi="宋体"/>
          <w:color w:val="000000" w:themeColor="text1"/>
          <w:sz w:val="24"/>
          <w14:textFill>
            <w14:solidFill>
              <w14:schemeClr w14:val="tx1"/>
            </w14:solidFill>
          </w14:textFill>
        </w:rPr>
        <w:t>日</w:t>
      </w:r>
      <w:r>
        <w:rPr>
          <w:rFonts w:ascii="宋体" w:hAnsi="宋体"/>
          <w:color w:val="000000" w:themeColor="text1"/>
          <w:sz w:val="24"/>
          <w14:textFill>
            <w14:solidFill>
              <w14:schemeClr w14:val="tx1"/>
            </w14:solidFill>
          </w14:textFill>
        </w:rPr>
        <w:t>止</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3、询价单发放时间：资格预审合格后于 </w:t>
      </w:r>
      <w:r>
        <w:rPr>
          <w:rFonts w:ascii="宋体" w:hAnsi="宋体"/>
          <w:color w:val="000000" w:themeColor="text1"/>
          <w:sz w:val="24"/>
          <w:u w:val="single"/>
          <w14:textFill>
            <w14:solidFill>
              <w14:schemeClr w14:val="tx1"/>
            </w14:solidFill>
          </w14:textFill>
        </w:rPr>
        <w:t>2023</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10</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18</w:t>
      </w:r>
      <w:r>
        <w:rPr>
          <w:rFonts w:hint="eastAsia" w:ascii="宋体" w:hAnsi="宋体"/>
          <w:color w:val="000000" w:themeColor="text1"/>
          <w:sz w:val="24"/>
          <w14:textFill>
            <w14:solidFill>
              <w14:schemeClr w14:val="tx1"/>
            </w14:solidFill>
          </w14:textFill>
        </w:rPr>
        <w:t>日至</w:t>
      </w:r>
      <w:r>
        <w:rPr>
          <w:rFonts w:ascii="宋体" w:hAnsi="宋体"/>
          <w:color w:val="000000" w:themeColor="text1"/>
          <w:sz w:val="24"/>
          <w:u w:val="single"/>
          <w14:textFill>
            <w14:solidFill>
              <w14:schemeClr w14:val="tx1"/>
            </w14:solidFill>
          </w14:textFill>
        </w:rPr>
        <w:t>2023</w:t>
      </w:r>
      <w:r>
        <w:rPr>
          <w:rFonts w:hint="eastAsia" w:ascii="宋体" w:hAnsi="宋体"/>
          <w:color w:val="000000" w:themeColor="text1"/>
          <w:sz w:val="24"/>
          <w14:textFill>
            <w14:solidFill>
              <w14:schemeClr w14:val="tx1"/>
            </w14:solidFill>
          </w14:textFill>
        </w:rPr>
        <w:t xml:space="preserve"> 年</w:t>
      </w:r>
      <w:r>
        <w:rPr>
          <w:rFonts w:hint="eastAsia" w:ascii="宋体" w:hAnsi="宋体"/>
          <w:color w:val="000000" w:themeColor="text1"/>
          <w:sz w:val="24"/>
          <w:u w:val="single"/>
          <w14:textFill>
            <w14:solidFill>
              <w14:schemeClr w14:val="tx1"/>
            </w14:solidFill>
          </w14:textFill>
        </w:rPr>
        <w:t>10</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20</w:t>
      </w:r>
      <w:r>
        <w:rPr>
          <w:rFonts w:hint="eastAsia" w:ascii="宋体" w:hAnsi="宋体"/>
          <w:color w:val="000000" w:themeColor="text1"/>
          <w:sz w:val="24"/>
          <w14:textFill>
            <w14:solidFill>
              <w14:schemeClr w14:val="tx1"/>
            </w14:solidFill>
          </w14:textFill>
        </w:rPr>
        <w:t>日发放询价单；</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4、比价时间：</w:t>
      </w:r>
      <w:r>
        <w:rPr>
          <w:rFonts w:ascii="宋体" w:hAnsi="宋体"/>
          <w:color w:val="000000" w:themeColor="text1"/>
          <w:sz w:val="24"/>
          <w:u w:val="single"/>
          <w14:textFill>
            <w14:solidFill>
              <w14:schemeClr w14:val="tx1"/>
            </w14:solidFill>
          </w14:textFill>
        </w:rPr>
        <w:t>2023</w:t>
      </w:r>
      <w:r>
        <w:rPr>
          <w:rFonts w:hint="eastAsia" w:ascii="宋体" w:hAnsi="宋体"/>
          <w:color w:val="000000" w:themeColor="text1"/>
          <w:sz w:val="24"/>
          <w14:textFill>
            <w14:solidFill>
              <w14:schemeClr w14:val="tx1"/>
            </w14:solidFill>
          </w14:textFill>
        </w:rPr>
        <w:t xml:space="preserve"> 年</w:t>
      </w:r>
      <w:r>
        <w:rPr>
          <w:rFonts w:hint="eastAsia" w:ascii="宋体" w:hAnsi="宋体"/>
          <w:color w:val="000000" w:themeColor="text1"/>
          <w:sz w:val="24"/>
          <w:u w:val="single"/>
          <w14:textFill>
            <w14:solidFill>
              <w14:schemeClr w14:val="tx1"/>
            </w14:solidFill>
          </w14:textFill>
        </w:rPr>
        <w:t>10</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24</w:t>
      </w:r>
      <w:r>
        <w:rPr>
          <w:rFonts w:hint="eastAsia" w:ascii="宋体" w:hAnsi="宋体"/>
          <w:color w:val="000000" w:themeColor="text1"/>
          <w:sz w:val="24"/>
          <w14:textFill>
            <w14:solidFill>
              <w14:schemeClr w14:val="tx1"/>
            </w14:solidFill>
          </w14:textFill>
        </w:rPr>
        <w:t xml:space="preserve"> 日</w:t>
      </w:r>
      <w:r>
        <w:rPr>
          <w:rFonts w:hint="eastAsia" w:ascii="宋体" w:hAnsi="宋体"/>
          <w:color w:val="000000" w:themeColor="text1"/>
          <w:sz w:val="24"/>
          <w:u w:val="single"/>
          <w14:textFill>
            <w14:solidFill>
              <w14:schemeClr w14:val="tx1"/>
            </w14:solidFill>
          </w14:textFill>
        </w:rPr>
        <w:t>13:3</w:t>
      </w:r>
      <w:r>
        <w:rPr>
          <w:rFonts w:ascii="宋体" w:hAnsi="宋体"/>
          <w:color w:val="000000" w:themeColor="text1"/>
          <w:sz w:val="24"/>
          <w:u w:val="single"/>
          <w14:textFill>
            <w14:solidFill>
              <w14:schemeClr w14:val="tx1"/>
            </w14:solidFill>
          </w14:textFill>
        </w:rPr>
        <w:t>0</w:t>
      </w:r>
      <w:r>
        <w:rPr>
          <w:rFonts w:hint="eastAsia" w:ascii="宋体" w:hAnsi="宋体"/>
          <w:color w:val="000000" w:themeColor="text1"/>
          <w:sz w:val="24"/>
          <w14:textFill>
            <w14:solidFill>
              <w14:schemeClr w14:val="tx1"/>
            </w14:solidFill>
          </w14:textFill>
        </w:rPr>
        <w:t xml:space="preserve"> 时；（以发出的询价单为准）。</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七、询比价地点：</w:t>
      </w:r>
      <w:r>
        <w:rPr>
          <w:rFonts w:hint="eastAsia" w:ascii="宋体" w:hAnsi="宋体"/>
          <w:color w:val="000000" w:themeColor="text1"/>
          <w:sz w:val="24"/>
          <w14:textFill>
            <w14:solidFill>
              <w14:schemeClr w14:val="tx1"/>
            </w14:solidFill>
          </w14:textFill>
        </w:rPr>
        <w:t>采招招标管理平台（以发出的询价单为准）。</w:t>
      </w:r>
    </w:p>
    <w:p>
      <w:pPr>
        <w:spacing w:line="360" w:lineRule="auto"/>
        <w:ind w:firstLine="480"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八、发布媒体：</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蒙牛集团电子采招平台网址（https://zbcg.mengniu.cn/#/home）</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蒙牛官网（http://www.mengniu.com.cn）</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蒙牛内部OA平台</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九、采购招标实施方及联系方式：</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采购方：蒙牛高科乳制品武汉有限责任公司</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业务咨询联系人：张芳，联系方式：</w:t>
      </w:r>
      <w:r>
        <w:rPr>
          <w:rFonts w:ascii="宋体" w:hAnsi="宋体"/>
          <w:color w:val="000000" w:themeColor="text1"/>
          <w:sz w:val="24"/>
          <w14:textFill>
            <w14:solidFill>
              <w14:schemeClr w14:val="tx1"/>
            </w14:solidFill>
          </w14:textFill>
        </w:rPr>
        <w:t>18995647901</w:t>
      </w:r>
    </w:p>
    <w:p>
      <w:pPr>
        <w:spacing w:line="360" w:lineRule="auto"/>
        <w:ind w:firstLine="480"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十、监督单位及联系方式：</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监督单位：内蒙古蒙牛乳业（集团）股份有限公司招投标管理部</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监 督 人:</w:t>
      </w:r>
      <w:r>
        <w:rPr>
          <w:rFonts w:hint="eastAsia" w:ascii="宋体" w:hAnsi="宋体"/>
        </w:rPr>
        <w:t xml:space="preserve"> </w:t>
      </w:r>
      <w:r>
        <w:rPr>
          <w:rFonts w:hint="eastAsia" w:ascii="宋体" w:hAnsi="宋体"/>
          <w:color w:val="000000" w:themeColor="text1"/>
          <w:sz w:val="24"/>
          <w14:textFill>
            <w14:solidFill>
              <w14:schemeClr w14:val="tx1"/>
            </w14:solidFill>
          </w14:textFill>
        </w:rPr>
        <w:t>潘宏</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联系方式：</w:t>
      </w:r>
      <w:r>
        <w:rPr>
          <w:rFonts w:ascii="宋体" w:hAnsi="宋体"/>
          <w:color w:val="000000" w:themeColor="text1"/>
          <w:sz w:val="24"/>
          <w14:textFill>
            <w14:solidFill>
              <w14:schemeClr w14:val="tx1"/>
            </w14:solidFill>
          </w14:textFill>
        </w:rPr>
        <w:t xml:space="preserve"> 18686095595</w:t>
      </w:r>
      <w:r>
        <w:rPr>
          <w:rFonts w:hint="eastAsia" w:ascii="宋体" w:hAnsi="宋体"/>
          <w:color w:val="000000" w:themeColor="text1"/>
          <w:sz w:val="24"/>
          <w14:textFill>
            <w14:solidFill>
              <w14:schemeClr w14:val="tx1"/>
            </w14:solidFill>
          </w14:textFill>
        </w:rPr>
        <w:t xml:space="preserve"> </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附件：1.潜在竞价单位报名提供信息表</w:t>
      </w:r>
    </w:p>
    <w:p>
      <w:pPr>
        <w:spacing w:line="360" w:lineRule="auto"/>
        <w:ind w:firstLine="1200" w:firstLineChars="5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数据保密协议</w:t>
      </w:r>
    </w:p>
    <w:p>
      <w:pPr>
        <w:spacing w:line="360" w:lineRule="auto"/>
        <w:ind w:firstLine="1200" w:firstLineChars="5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3.法定代表人身份证明</w:t>
      </w:r>
    </w:p>
    <w:p>
      <w:pPr>
        <w:spacing w:line="360" w:lineRule="auto"/>
        <w:ind w:firstLine="1200" w:firstLineChars="5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4.法定代表人授权委托书</w:t>
      </w:r>
      <w:r>
        <w:rPr>
          <w:rFonts w:ascii="宋体" w:hAnsi="宋体"/>
          <w:color w:val="000000" w:themeColor="text1"/>
          <w:sz w:val="24"/>
          <w14:textFill>
            <w14:solidFill>
              <w14:schemeClr w14:val="tx1"/>
            </w14:solidFill>
          </w14:textFill>
        </w:rPr>
        <w:t>及社保证明</w:t>
      </w:r>
    </w:p>
    <w:p>
      <w:pPr>
        <w:spacing w:line="360" w:lineRule="auto"/>
        <w:ind w:firstLine="1200" w:firstLineChars="500"/>
        <w:rPr>
          <w:rFonts w:ascii="宋体" w:hAnsi="宋体"/>
          <w:color w:val="000000" w:themeColor="text1"/>
          <w:sz w:val="24"/>
          <w14:textFill>
            <w14:solidFill>
              <w14:schemeClr w14:val="tx1"/>
            </w14:solidFill>
          </w14:textFill>
        </w:rPr>
      </w:pPr>
    </w:p>
    <w:p>
      <w:pPr>
        <w:spacing w:line="360" w:lineRule="auto"/>
        <w:ind w:firstLine="1200" w:firstLineChars="500"/>
        <w:rPr>
          <w:rFonts w:ascii="宋体" w:hAnsi="宋体"/>
          <w:color w:val="000000" w:themeColor="text1"/>
          <w:sz w:val="24"/>
          <w14:textFill>
            <w14:solidFill>
              <w14:schemeClr w14:val="tx1"/>
            </w14:solidFill>
          </w14:textFill>
        </w:rPr>
      </w:pPr>
    </w:p>
    <w:p>
      <w:pPr>
        <w:spacing w:line="360" w:lineRule="auto"/>
        <w:ind w:firstLine="1200" w:firstLineChars="500"/>
        <w:rPr>
          <w:rFonts w:ascii="宋体" w:hAnsi="宋体"/>
          <w:color w:val="000000" w:themeColor="text1"/>
          <w:sz w:val="24"/>
          <w14:textFill>
            <w14:solidFill>
              <w14:schemeClr w14:val="tx1"/>
            </w14:solidFill>
          </w14:textFill>
        </w:rPr>
      </w:pPr>
    </w:p>
    <w:p>
      <w:pPr>
        <w:spacing w:line="360" w:lineRule="auto"/>
        <w:ind w:firstLine="480" w:firstLineChars="200"/>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采购方：蒙牛高科乳制品武汉有限责任公司</w:t>
      </w:r>
      <w:r>
        <w:rPr>
          <w:rFonts w:ascii="宋体" w:hAnsi="宋体"/>
          <w:color w:val="000000" w:themeColor="text1"/>
          <w:sz w:val="24"/>
          <w14:textFill>
            <w14:solidFill>
              <w14:schemeClr w14:val="tx1"/>
            </w14:solidFill>
          </w14:textFill>
        </w:rPr>
        <w:t xml:space="preserve">  </w:t>
      </w:r>
    </w:p>
    <w:p>
      <w:pPr>
        <w:spacing w:line="360" w:lineRule="auto"/>
        <w:ind w:firstLine="480" w:firstLineChars="200"/>
        <w:jc w:val="right"/>
        <w:rPr>
          <w:rFonts w:ascii="宋体" w:hAnsi="宋体"/>
          <w:color w:val="000000" w:themeColor="text1"/>
          <w:sz w:val="24"/>
          <w14:textFill>
            <w14:solidFill>
              <w14:schemeClr w14:val="tx1"/>
            </w14:solidFill>
          </w14:textFill>
        </w:rPr>
      </w:pPr>
      <w:bookmarkStart w:id="10" w:name="_GoBack"/>
      <w:bookmarkEnd w:id="10"/>
      <w:r>
        <w:rPr>
          <w:rFonts w:ascii="宋体" w:hAnsi="宋体"/>
          <w:color w:val="000000" w:themeColor="text1"/>
          <w:sz w:val="24"/>
          <w14:textFill>
            <w14:solidFill>
              <w14:schemeClr w14:val="tx1"/>
            </w14:solidFill>
          </w14:textFill>
        </w:rPr>
        <w:t>2023</w:t>
      </w:r>
      <w:r>
        <w:rPr>
          <w:rFonts w:hint="eastAsia" w:ascii="宋体" w:hAnsi="宋体"/>
          <w:color w:val="000000" w:themeColor="text1"/>
          <w:sz w:val="24"/>
          <w14:textFill>
            <w14:solidFill>
              <w14:schemeClr w14:val="tx1"/>
            </w14:solidFill>
          </w14:textFill>
        </w:rPr>
        <w:t>年10月</w:t>
      </w:r>
      <w:r>
        <w:rPr>
          <w:rFonts w:hint="eastAsia" w:ascii="宋体" w:hAnsi="宋体"/>
          <w:color w:val="000000" w:themeColor="text1"/>
          <w:sz w:val="24"/>
          <w:lang w:val="en-US" w:eastAsia="zh-CN"/>
          <w14:textFill>
            <w14:solidFill>
              <w14:schemeClr w14:val="tx1"/>
            </w14:solidFill>
          </w14:textFill>
        </w:rPr>
        <w:t>8</w:t>
      </w:r>
      <w:r>
        <w:rPr>
          <w:rFonts w:hint="eastAsia" w:ascii="宋体" w:hAnsi="宋体"/>
          <w:color w:val="000000" w:themeColor="text1"/>
          <w:sz w:val="24"/>
          <w14:textFill>
            <w14:solidFill>
              <w14:schemeClr w14:val="tx1"/>
            </w14:solidFill>
          </w14:textFill>
        </w:rPr>
        <w:t>日</w:t>
      </w: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12"/>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spacing w:line="360" w:lineRule="auto"/>
        <w:ind w:firstLine="480" w:firstLineChars="200"/>
        <w:jc w:val="right"/>
        <w:rPr>
          <w:rFonts w:ascii="宋体" w:hAnsi="宋体"/>
          <w:color w:val="000000" w:themeColor="text1"/>
          <w:sz w:val="24"/>
          <w14:textFill>
            <w14:solidFill>
              <w14:schemeClr w14:val="tx1"/>
            </w14:solidFill>
          </w14:textFill>
        </w:rPr>
      </w:pPr>
    </w:p>
    <w:p>
      <w:pPr>
        <w:spacing w:line="360" w:lineRule="auto"/>
        <w:ind w:firstLine="480" w:firstLineChars="200"/>
        <w:jc w:val="right"/>
        <w:rPr>
          <w:rFonts w:ascii="宋体" w:hAnsi="宋体"/>
          <w:color w:val="000000" w:themeColor="text1"/>
          <w:sz w:val="24"/>
          <w14:textFill>
            <w14:solidFill>
              <w14:schemeClr w14:val="tx1"/>
            </w14:solidFill>
          </w14:textFill>
        </w:rPr>
      </w:pPr>
    </w:p>
    <w:p>
      <w:pPr>
        <w:spacing w:line="360" w:lineRule="auto"/>
        <w:ind w:firstLine="480" w:firstLineChars="200"/>
        <w:jc w:val="right"/>
        <w:rPr>
          <w:rFonts w:ascii="宋体" w:hAnsi="宋体"/>
          <w:color w:val="000000" w:themeColor="text1"/>
          <w:sz w:val="24"/>
          <w14:textFill>
            <w14:solidFill>
              <w14:schemeClr w14:val="tx1"/>
            </w14:solidFill>
          </w14:textFill>
        </w:rPr>
      </w:pPr>
    </w:p>
    <w:p>
      <w:pPr>
        <w:spacing w:line="360" w:lineRule="auto"/>
        <w:ind w:firstLine="480" w:firstLineChars="200"/>
        <w:jc w:val="right"/>
        <w:rPr>
          <w:rFonts w:ascii="宋体" w:hAnsi="宋体"/>
          <w:color w:val="000000" w:themeColor="text1"/>
          <w:sz w:val="24"/>
          <w14:textFill>
            <w14:solidFill>
              <w14:schemeClr w14:val="tx1"/>
            </w14:solidFill>
          </w14:textFill>
        </w:rPr>
      </w:pPr>
    </w:p>
    <w:p>
      <w:pPr>
        <w:spacing w:line="360" w:lineRule="auto"/>
        <w:ind w:firstLine="480" w:firstLineChars="200"/>
        <w:jc w:val="right"/>
        <w:rPr>
          <w:rFonts w:ascii="宋体" w:hAnsi="宋体"/>
          <w:color w:val="000000" w:themeColor="text1"/>
          <w:sz w:val="24"/>
          <w14:textFill>
            <w14:solidFill>
              <w14:schemeClr w14:val="tx1"/>
            </w14:solidFill>
          </w14:textFill>
        </w:rPr>
      </w:pPr>
    </w:p>
    <w:p>
      <w:pPr>
        <w:spacing w:line="360" w:lineRule="auto"/>
        <w:ind w:firstLine="480" w:firstLineChars="200"/>
        <w:jc w:val="right"/>
        <w:rPr>
          <w:rFonts w:ascii="宋体" w:hAnsi="宋体"/>
          <w:color w:val="000000" w:themeColor="text1"/>
          <w:sz w:val="24"/>
          <w14:textFill>
            <w14:solidFill>
              <w14:schemeClr w14:val="tx1"/>
            </w14:solidFill>
          </w14:textFill>
        </w:rPr>
      </w:pPr>
    </w:p>
    <w:p>
      <w:pPr>
        <w:spacing w:line="360" w:lineRule="auto"/>
        <w:ind w:firstLine="480" w:firstLineChars="200"/>
        <w:jc w:val="right"/>
        <w:rPr>
          <w:rFonts w:ascii="宋体" w:hAnsi="宋体"/>
          <w:color w:val="000000" w:themeColor="text1"/>
          <w:sz w:val="24"/>
          <w14:textFill>
            <w14:solidFill>
              <w14:schemeClr w14:val="tx1"/>
            </w14:solidFill>
          </w14:textFill>
        </w:rPr>
      </w:pPr>
    </w:p>
    <w:p>
      <w:pPr>
        <w:spacing w:line="360" w:lineRule="auto"/>
        <w:ind w:firstLine="480" w:firstLineChars="200"/>
        <w:jc w:val="right"/>
        <w:rPr>
          <w:rFonts w:ascii="宋体" w:hAnsi="宋体"/>
          <w:color w:val="000000" w:themeColor="text1"/>
          <w:sz w:val="24"/>
          <w14:textFill>
            <w14:solidFill>
              <w14:schemeClr w14:val="tx1"/>
            </w14:solidFill>
          </w14:textFill>
        </w:rPr>
      </w:pPr>
    </w:p>
    <w:p>
      <w:pPr>
        <w:spacing w:line="360" w:lineRule="auto"/>
        <w:ind w:firstLine="480" w:firstLineChars="200"/>
        <w:jc w:val="right"/>
        <w:rPr>
          <w:rFonts w:ascii="宋体" w:hAnsi="宋体"/>
          <w:color w:val="000000" w:themeColor="text1"/>
          <w:sz w:val="24"/>
          <w14:textFill>
            <w14:solidFill>
              <w14:schemeClr w14:val="tx1"/>
            </w14:solidFill>
          </w14:textFill>
        </w:rPr>
      </w:pPr>
    </w:p>
    <w:p>
      <w:pPr>
        <w:spacing w:line="360" w:lineRule="auto"/>
        <w:ind w:firstLine="480" w:firstLineChars="200"/>
        <w:jc w:val="right"/>
        <w:rPr>
          <w:rFonts w:ascii="宋体" w:hAnsi="宋体"/>
          <w:color w:val="000000" w:themeColor="text1"/>
          <w:sz w:val="24"/>
          <w14:textFill>
            <w14:solidFill>
              <w14:schemeClr w14:val="tx1"/>
            </w14:solidFill>
          </w14:textFill>
        </w:rPr>
      </w:pPr>
    </w:p>
    <w:p>
      <w:pPr>
        <w:spacing w:line="360" w:lineRule="auto"/>
        <w:ind w:firstLine="480" w:firstLineChars="200"/>
        <w:jc w:val="right"/>
        <w:rPr>
          <w:rFonts w:ascii="宋体" w:hAnsi="宋体"/>
          <w:color w:val="000000" w:themeColor="text1"/>
          <w:sz w:val="24"/>
          <w14:textFill>
            <w14:solidFill>
              <w14:schemeClr w14:val="tx1"/>
            </w14:solidFill>
          </w14:textFill>
        </w:rPr>
      </w:pPr>
    </w:p>
    <w:p>
      <w:pPr>
        <w:spacing w:line="360" w:lineRule="auto"/>
        <w:ind w:firstLine="480" w:firstLineChars="200"/>
        <w:jc w:val="right"/>
        <w:rPr>
          <w:rFonts w:ascii="宋体" w:hAnsi="宋体"/>
          <w:color w:val="000000" w:themeColor="text1"/>
          <w:sz w:val="24"/>
          <w14:textFill>
            <w14:solidFill>
              <w14:schemeClr w14:val="tx1"/>
            </w14:solidFill>
          </w14:textFill>
        </w:rPr>
      </w:pPr>
    </w:p>
    <w:p>
      <w:pPr>
        <w:spacing w:line="360" w:lineRule="auto"/>
        <w:ind w:firstLine="480" w:firstLineChars="200"/>
        <w:jc w:val="right"/>
        <w:rPr>
          <w:rFonts w:ascii="宋体" w:hAnsi="宋体"/>
          <w:color w:val="000000" w:themeColor="text1"/>
          <w:sz w:val="24"/>
          <w14:textFill>
            <w14:solidFill>
              <w14:schemeClr w14:val="tx1"/>
            </w14:solidFill>
          </w14:textFill>
        </w:rPr>
      </w:pPr>
    </w:p>
    <w:p>
      <w:pPr>
        <w:spacing w:line="360" w:lineRule="auto"/>
        <w:ind w:firstLine="480" w:firstLineChars="200"/>
        <w:jc w:val="right"/>
        <w:rPr>
          <w:rFonts w:ascii="宋体" w:hAnsi="宋体"/>
          <w:color w:val="000000" w:themeColor="text1"/>
          <w:sz w:val="24"/>
          <w14:textFill>
            <w14:solidFill>
              <w14:schemeClr w14:val="tx1"/>
            </w14:solidFill>
          </w14:textFill>
        </w:rPr>
      </w:pPr>
    </w:p>
    <w:p>
      <w:pPr>
        <w:spacing w:line="360" w:lineRule="auto"/>
        <w:ind w:firstLine="480" w:firstLineChars="200"/>
        <w:jc w:val="right"/>
        <w:rPr>
          <w:rFonts w:ascii="宋体" w:hAnsi="宋体"/>
          <w:color w:val="000000" w:themeColor="text1"/>
          <w:sz w:val="24"/>
          <w14:textFill>
            <w14:solidFill>
              <w14:schemeClr w14:val="tx1"/>
            </w14:solidFill>
          </w14:textFill>
        </w:rPr>
      </w:pPr>
    </w:p>
    <w:p>
      <w:pPr>
        <w:spacing w:line="360" w:lineRule="auto"/>
        <w:ind w:firstLine="480" w:firstLineChars="200"/>
        <w:jc w:val="right"/>
        <w:rPr>
          <w:rFonts w:ascii="宋体" w:hAnsi="宋体"/>
          <w:color w:val="000000" w:themeColor="text1"/>
          <w:sz w:val="24"/>
          <w14:textFill>
            <w14:solidFill>
              <w14:schemeClr w14:val="tx1"/>
            </w14:solidFill>
          </w14:textFill>
        </w:rPr>
      </w:pPr>
    </w:p>
    <w:p>
      <w:pPr>
        <w:jc w:val="left"/>
        <w:rPr>
          <w:rFonts w:ascii="微软雅黑" w:hAnsi="微软雅黑" w:eastAsia="微软雅黑" w:cs="仿宋"/>
          <w:sz w:val="24"/>
        </w:rPr>
      </w:pPr>
    </w:p>
    <w:p>
      <w:pPr>
        <w:jc w:val="left"/>
        <w:rPr>
          <w:rFonts w:ascii="微软雅黑" w:hAnsi="微软雅黑" w:eastAsia="微软雅黑" w:cs="仿宋"/>
          <w:sz w:val="24"/>
        </w:rPr>
      </w:pPr>
    </w:p>
    <w:p>
      <w:pPr>
        <w:jc w:val="left"/>
        <w:rPr>
          <w:rFonts w:ascii="微软雅黑" w:hAnsi="微软雅黑" w:eastAsia="微软雅黑" w:cs="仿宋"/>
          <w:sz w:val="24"/>
        </w:rPr>
      </w:pPr>
    </w:p>
    <w:p>
      <w:pPr>
        <w:jc w:val="left"/>
        <w:rPr>
          <w:rFonts w:ascii="微软雅黑" w:hAnsi="微软雅黑" w:eastAsia="微软雅黑" w:cs="仿宋"/>
          <w:sz w:val="24"/>
        </w:rPr>
      </w:pPr>
      <w:r>
        <w:rPr>
          <w:rFonts w:ascii="微软雅黑" w:hAnsi="微软雅黑" w:eastAsia="微软雅黑" w:cs="仿宋"/>
          <w:sz w:val="24"/>
        </w:rPr>
        <w:t>附件</w:t>
      </w:r>
      <w:r>
        <w:rPr>
          <w:rFonts w:hint="eastAsia" w:ascii="微软雅黑" w:hAnsi="微软雅黑" w:eastAsia="微软雅黑" w:cs="仿宋"/>
          <w:sz w:val="24"/>
        </w:rPr>
        <w:t>2：</w:t>
      </w:r>
    </w:p>
    <w:p>
      <w:pPr>
        <w:widowControl/>
        <w:adjustRightInd w:val="0"/>
        <w:snapToGrid w:val="0"/>
        <w:spacing w:line="360" w:lineRule="auto"/>
        <w:jc w:val="center"/>
        <w:textAlignment w:val="baseline"/>
        <w:rPr>
          <w:rFonts w:ascii="微软雅黑" w:hAnsi="微软雅黑" w:eastAsia="微软雅黑"/>
          <w:b/>
          <w:kern w:val="0"/>
          <w:sz w:val="44"/>
          <w:szCs w:val="44"/>
        </w:rPr>
      </w:pPr>
      <w:r>
        <w:rPr>
          <w:rFonts w:hint="eastAsia" w:ascii="微软雅黑" w:hAnsi="微软雅黑" w:eastAsia="微软雅黑"/>
          <w:b/>
          <w:kern w:val="0"/>
          <w:sz w:val="44"/>
          <w:szCs w:val="44"/>
        </w:rPr>
        <w:t>数据保密协议</w:t>
      </w:r>
    </w:p>
    <w:p>
      <w:pPr>
        <w:spacing w:line="336" w:lineRule="auto"/>
        <w:rPr>
          <w:rFonts w:ascii="微软雅黑" w:hAnsi="微软雅黑" w:eastAsia="微软雅黑"/>
          <w:kern w:val="0"/>
          <w:sz w:val="24"/>
        </w:rPr>
      </w:pPr>
      <w:r>
        <w:rPr>
          <w:rFonts w:hint="eastAsia" w:ascii="微软雅黑" w:hAnsi="微软雅黑" w:eastAsia="微软雅黑"/>
          <w:color w:val="000000"/>
          <w:kern w:val="0"/>
          <w:sz w:val="24"/>
        </w:rPr>
        <w:t>甲方：蒙牛高科乳制品武汉有限责任公司</w:t>
      </w:r>
      <w:r>
        <w:rPr>
          <w:rFonts w:hint="eastAsia" w:ascii="微软雅黑" w:hAnsi="微软雅黑" w:eastAsia="微软雅黑"/>
          <w:color w:val="000000"/>
          <w:kern w:val="0"/>
          <w:sz w:val="24"/>
        </w:rPr>
        <w:br w:type="textWrapping"/>
      </w:r>
      <w:r>
        <w:rPr>
          <w:rFonts w:hint="eastAsia" w:ascii="微软雅黑" w:hAnsi="微软雅黑" w:eastAsia="微软雅黑"/>
          <w:color w:val="000000"/>
          <w:kern w:val="0"/>
          <w:sz w:val="24"/>
        </w:rPr>
        <w:t xml:space="preserve">承诺方： </w:t>
      </w:r>
      <w:r>
        <w:rPr>
          <w:rFonts w:hint="eastAsia" w:ascii="微软雅黑" w:hAnsi="微软雅黑" w:eastAsia="微软雅黑"/>
          <w:kern w:val="0"/>
          <w:sz w:val="24"/>
        </w:rPr>
        <w:br w:type="textWrapping"/>
      </w:r>
      <w:r>
        <w:rPr>
          <w:rFonts w:hint="eastAsia" w:ascii="微软雅黑" w:hAnsi="微软雅黑" w:eastAsia="微软雅黑"/>
          <w:kern w:val="0"/>
          <w:sz w:val="24"/>
        </w:rPr>
        <w:t xml:space="preserve">   </w:t>
      </w:r>
      <w:r>
        <w:rPr>
          <w:rFonts w:hint="eastAsia" w:ascii="微软雅黑" w:hAnsi="微软雅黑" w:eastAsia="微软雅黑"/>
          <w:color w:val="000000"/>
          <w:kern w:val="0"/>
          <w:sz w:val="24"/>
        </w:rPr>
        <w:t>双方经平等协商同意，自愿签订本协议，共同遵守本协议所列条款。</w:t>
      </w:r>
    </w:p>
    <w:p>
      <w:pPr>
        <w:widowControl/>
        <w:adjustRightInd w:val="0"/>
        <w:snapToGrid w:val="0"/>
        <w:spacing w:line="336" w:lineRule="auto"/>
        <w:ind w:firstLine="480" w:firstLineChars="200"/>
        <w:textAlignment w:val="baseline"/>
        <w:rPr>
          <w:rFonts w:ascii="微软雅黑" w:hAnsi="微软雅黑" w:eastAsia="微软雅黑"/>
          <w:b/>
          <w:color w:val="000000"/>
          <w:kern w:val="0"/>
          <w:sz w:val="24"/>
        </w:rPr>
      </w:pPr>
      <w:r>
        <w:rPr>
          <w:rFonts w:hint="eastAsia" w:ascii="微软雅黑" w:hAnsi="微软雅黑" w:eastAsia="微软雅黑"/>
          <w:b/>
          <w:color w:val="000000"/>
          <w:kern w:val="0"/>
          <w:sz w:val="24"/>
        </w:rPr>
        <w:t>第一条、保密的定义、内容和范围</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 xml:space="preserve">3、包括但不限于以直接、间接、口头或书面等形式提供商业秘密的行为均属泄密。 </w:t>
      </w:r>
    </w:p>
    <w:p>
      <w:pPr>
        <w:widowControl/>
        <w:adjustRightInd w:val="0"/>
        <w:snapToGrid w:val="0"/>
        <w:spacing w:line="336" w:lineRule="auto"/>
        <w:ind w:firstLine="480" w:firstLineChars="200"/>
        <w:textAlignment w:val="baseline"/>
        <w:rPr>
          <w:rFonts w:ascii="微软雅黑" w:hAnsi="微软雅黑" w:eastAsia="微软雅黑"/>
          <w:b/>
          <w:color w:val="000000"/>
          <w:kern w:val="0"/>
          <w:sz w:val="24"/>
        </w:rPr>
      </w:pPr>
      <w:r>
        <w:rPr>
          <w:rFonts w:hint="eastAsia" w:ascii="微软雅黑" w:hAnsi="微软雅黑" w:eastAsia="微软雅黑"/>
          <w:b/>
          <w:color w:val="000000"/>
          <w:kern w:val="0"/>
          <w:sz w:val="24"/>
        </w:rPr>
        <w:t>第二条、保密条款</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1、承诺方同意严格按照本协议的规定使用甲方的保密信息，未经甲方的事先书面许可，不得向第三方，或允许向第三方直接或间接地透露保密信息。</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2、承诺方负责对保密信息进行保密，并采取所有必要的预防措施（包括但不限于双方采取的用于保护自身保密信息的措施）防止第三方未经授权地使用及透露保密信息；</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3、承诺方不得向第三方提供保密信息或由保密信息衍生的信息；</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4、除了本协议确定的保密信息应用范围外，承诺方不得在任何时候使用保密信息。</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5、本条款项下的义务适用于任何保密信息，或根据双方事先或目前协议由甲方提供给承诺方的其他专有和/或保密信息。</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6、本协议终止后，承诺方应立即自费将保密信息物归原主，并归还所有含保密信息的文件或媒体及其复制件或摘要。</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7、协议确定业务的承诺方员工。如果参与本协议的承诺方员工不再继续参与本项目，则应确保立即终止该员工获得对方保密信息和信息源的途径。</w:t>
      </w:r>
    </w:p>
    <w:p>
      <w:pPr>
        <w:widowControl/>
        <w:adjustRightInd w:val="0"/>
        <w:snapToGrid w:val="0"/>
        <w:spacing w:line="336" w:lineRule="auto"/>
        <w:ind w:firstLine="480" w:firstLineChars="200"/>
        <w:textAlignment w:val="baseline"/>
        <w:rPr>
          <w:rFonts w:ascii="微软雅黑" w:hAnsi="微软雅黑" w:eastAsia="微软雅黑"/>
          <w:b/>
          <w:color w:val="000000"/>
          <w:kern w:val="0"/>
          <w:sz w:val="24"/>
        </w:rPr>
      </w:pPr>
      <w:r>
        <w:rPr>
          <w:rFonts w:hint="eastAsia" w:ascii="微软雅黑" w:hAnsi="微软雅黑" w:eastAsia="微软雅黑"/>
          <w:b/>
          <w:color w:val="000000"/>
          <w:kern w:val="0"/>
          <w:sz w:val="24"/>
        </w:rPr>
        <w:t xml:space="preserve">第三条、双方的权利与义务  </w:t>
      </w:r>
    </w:p>
    <w:p>
      <w:pPr>
        <w:widowControl/>
        <w:adjustRightInd w:val="0"/>
        <w:snapToGrid w:val="0"/>
        <w:spacing w:line="336" w:lineRule="auto"/>
        <w:ind w:firstLine="484" w:firstLineChars="202"/>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1、承诺方应自觉维护甲方的利益，严格遵守本委托方的保密规定；</w:t>
      </w:r>
    </w:p>
    <w:p>
      <w:pPr>
        <w:widowControl/>
        <w:adjustRightInd w:val="0"/>
        <w:snapToGrid w:val="0"/>
        <w:spacing w:line="336" w:lineRule="auto"/>
        <w:ind w:left="568" w:leftChars="270" w:hanging="1"/>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2、承诺方不得向任何单位和个人泄露所掌握的商业秘密事项；</w:t>
      </w:r>
      <w:r>
        <w:rPr>
          <w:rFonts w:hint="eastAsia" w:ascii="微软雅黑" w:hAnsi="微软雅黑" w:eastAsia="微软雅黑"/>
          <w:color w:val="000000"/>
          <w:kern w:val="0"/>
          <w:sz w:val="24"/>
        </w:rPr>
        <w:br w:type="textWrapping"/>
      </w:r>
      <w:r>
        <w:rPr>
          <w:rFonts w:hint="eastAsia" w:ascii="微软雅黑" w:hAnsi="微软雅黑" w:eastAsia="微软雅黑"/>
          <w:color w:val="000000"/>
          <w:kern w:val="0"/>
          <w:sz w:val="24"/>
        </w:rPr>
        <w:t>3、承诺方不得利用所掌握的商业秘密牟取私利；</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4、承诺方了解并承认，由于技术服务等原因，承诺方有可能在某些情况下访问甲方数据。</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5、承诺方同意并承诺，对所有保密信息予以严格保密，在未得到甲方事先许可的情况下不得披露给任何第三人；</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6、承诺方同意并承诺，无论任何原因，服务终止后，承诺方不可恢复地删除任何商业秘密，并不留存任何副本。同时，如甲方需要，承诺方保证退回甲方的任何含有商业秘密的文件或资料(如有)。</w:t>
      </w:r>
    </w:p>
    <w:p>
      <w:pPr>
        <w:widowControl/>
        <w:adjustRightInd w:val="0"/>
        <w:snapToGrid w:val="0"/>
        <w:spacing w:line="336" w:lineRule="auto"/>
        <w:ind w:firstLine="480" w:firstLineChars="200"/>
        <w:textAlignment w:val="baseline"/>
        <w:rPr>
          <w:rFonts w:ascii="微软雅黑" w:hAnsi="微软雅黑" w:eastAsia="微软雅黑"/>
          <w:b/>
          <w:color w:val="000000"/>
          <w:kern w:val="0"/>
          <w:sz w:val="24"/>
        </w:rPr>
      </w:pPr>
      <w:r>
        <w:rPr>
          <w:rFonts w:hint="eastAsia" w:ascii="微软雅黑" w:hAnsi="微软雅黑" w:eastAsia="微软雅黑"/>
          <w:b/>
          <w:color w:val="000000"/>
          <w:kern w:val="0"/>
          <w:sz w:val="24"/>
        </w:rPr>
        <w:t xml:space="preserve"> 第四条、本《协议》项下的保密义务不适用于如下信息：</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1、由于承诺方以外其他渠道被他人获知的信息，这些渠道并不受保密义务的限制；</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2、由于法律的适用、法院或其他国家有权机关的要求而披露的信息。</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3、另一方从不受保密限制的第三方获得的信息；</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4、未参考保密信息而由另一方独立开发的信息；</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5、依据法律的规定或根据法律赋予的权力可以获取此信息的司法、政府机构的要求必须公开的信息。接到此类要求后的一方，应立即通知另一方,使另一方了解将要披露的内容并提出意见。</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b/>
          <w:color w:val="000000"/>
          <w:kern w:val="0"/>
          <w:sz w:val="24"/>
        </w:rPr>
        <w:t>第五条、</w:t>
      </w:r>
      <w:r>
        <w:rPr>
          <w:rFonts w:hint="eastAsia" w:ascii="微软雅黑" w:hAnsi="微软雅黑" w:eastAsia="微软雅黑"/>
          <w:color w:val="000000"/>
          <w:kern w:val="0"/>
          <w:sz w:val="24"/>
        </w:rPr>
        <w:t>如果承诺方违反本协议的以上规定情形,则甲方有权将承诺方拉入蒙牛供应商黑名单，并要积极配合甲方在10个工作日内收回已经泄露的信息。</w:t>
      </w:r>
    </w:p>
    <w:p>
      <w:pPr>
        <w:widowControl/>
        <w:adjustRightInd w:val="0"/>
        <w:snapToGrid w:val="0"/>
        <w:spacing w:line="336" w:lineRule="auto"/>
        <w:ind w:firstLine="480" w:firstLineChars="200"/>
        <w:textAlignment w:val="baseline"/>
        <w:rPr>
          <w:rFonts w:ascii="微软雅黑" w:hAnsi="微软雅黑" w:eastAsia="微软雅黑"/>
          <w:b/>
          <w:color w:val="000000"/>
          <w:kern w:val="0"/>
          <w:sz w:val="24"/>
        </w:rPr>
      </w:pPr>
      <w:r>
        <w:rPr>
          <w:rFonts w:hint="eastAsia" w:ascii="微软雅黑" w:hAnsi="微软雅黑" w:eastAsia="微软雅黑"/>
          <w:b/>
          <w:color w:val="000000"/>
          <w:kern w:val="0"/>
          <w:sz w:val="24"/>
        </w:rPr>
        <w:t>第六条、争议解决方式</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本协议适用中华人民共和国法律，因本协议引起或与本协议有关的任何争议，应由双方友好协商解决，协商不成的，双方同意选择第    【1】种方式解决：</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1、向呼和浩特仲裁委员会申请仲裁。因仲裁产生的包括但不限于仲裁费、律师费、调查费、差旅费等，由败诉一方承担。</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2、向甲方所在地有管辖权的人民法院提起诉讼。因诉讼产生的包括但不限于诉讼费、律师费、调查费、差旅费等，由败诉一方承担。</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（说明：签署主体为内蒙古蒙牛乳业（集团）股份有限公司，地址为内蒙古呼市和林格尔县盛乐经济园区时，争议解决方式应选择第2种方式解决；其他主体签署时应选择第1种方式解决。）</w:t>
      </w:r>
    </w:p>
    <w:p>
      <w:pPr>
        <w:widowControl/>
        <w:adjustRightInd w:val="0"/>
        <w:snapToGrid w:val="0"/>
        <w:spacing w:line="336" w:lineRule="auto"/>
        <w:ind w:firstLine="480" w:firstLineChars="200"/>
        <w:textAlignment w:val="baseline"/>
        <w:rPr>
          <w:rFonts w:ascii="微软雅黑" w:hAnsi="微软雅黑" w:eastAsia="微软雅黑"/>
          <w:b/>
          <w:color w:val="000000"/>
          <w:kern w:val="0"/>
          <w:sz w:val="24"/>
        </w:rPr>
      </w:pPr>
      <w:r>
        <w:rPr>
          <w:rFonts w:hint="eastAsia" w:ascii="微软雅黑" w:hAnsi="微软雅黑" w:eastAsia="微软雅黑"/>
          <w:b/>
          <w:color w:val="000000"/>
          <w:kern w:val="0"/>
          <w:sz w:val="24"/>
        </w:rPr>
        <w:t xml:space="preserve">第七条、此协议自签字盖章之日起生效。 </w:t>
      </w:r>
    </w:p>
    <w:p>
      <w:pPr>
        <w:widowControl/>
        <w:adjustRightInd w:val="0"/>
        <w:snapToGrid w:val="0"/>
        <w:spacing w:line="336" w:lineRule="auto"/>
        <w:ind w:firstLine="480" w:firstLineChars="200"/>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 xml:space="preserve">（以下无正文） </w:t>
      </w:r>
      <w:r>
        <w:rPr>
          <w:rFonts w:hint="eastAsia" w:ascii="微软雅黑" w:hAnsi="微软雅黑" w:eastAsia="微软雅黑"/>
          <w:color w:val="000000"/>
          <w:kern w:val="0"/>
          <w:sz w:val="24"/>
        </w:rPr>
        <w:tab/>
      </w:r>
      <w:r>
        <w:rPr>
          <w:rFonts w:hint="eastAsia" w:ascii="微软雅黑" w:hAnsi="微软雅黑" w:eastAsia="微软雅黑"/>
          <w:color w:val="000000"/>
          <w:kern w:val="0"/>
          <w:sz w:val="24"/>
        </w:rPr>
        <w:tab/>
      </w:r>
      <w:r>
        <w:rPr>
          <w:rFonts w:hint="eastAsia" w:ascii="微软雅黑" w:hAnsi="微软雅黑" w:eastAsia="微软雅黑"/>
          <w:color w:val="000000"/>
          <w:kern w:val="0"/>
          <w:sz w:val="24"/>
        </w:rPr>
        <w:t xml:space="preserve">                            </w:t>
      </w:r>
    </w:p>
    <w:p>
      <w:pPr>
        <w:widowControl/>
        <w:adjustRightInd w:val="0"/>
        <w:snapToGrid w:val="0"/>
        <w:spacing w:line="336" w:lineRule="auto"/>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承诺方：</w:t>
      </w:r>
    </w:p>
    <w:p>
      <w:pPr>
        <w:widowControl/>
        <w:adjustRightInd w:val="0"/>
        <w:snapToGrid w:val="0"/>
        <w:spacing w:line="336" w:lineRule="auto"/>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代表人：</w:t>
      </w:r>
    </w:p>
    <w:p>
      <w:pPr>
        <w:widowControl/>
        <w:adjustRightInd w:val="0"/>
        <w:snapToGrid w:val="0"/>
        <w:spacing w:line="336" w:lineRule="auto"/>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日期：</w:t>
      </w:r>
    </w:p>
    <w:p>
      <w:pPr>
        <w:widowControl/>
        <w:adjustRightInd w:val="0"/>
        <w:snapToGrid w:val="0"/>
        <w:spacing w:line="336" w:lineRule="auto"/>
        <w:textAlignment w:val="baseline"/>
        <w:rPr>
          <w:rFonts w:ascii="微软雅黑" w:hAnsi="微软雅黑" w:eastAsia="微软雅黑"/>
          <w:color w:val="000000"/>
          <w:kern w:val="0"/>
          <w:sz w:val="24"/>
        </w:rPr>
      </w:pPr>
    </w:p>
    <w:p>
      <w:pPr>
        <w:widowControl/>
        <w:spacing w:before="100" w:beforeAutospacing="1" w:after="100" w:afterAutospacing="1" w:line="360" w:lineRule="exact"/>
        <w:jc w:val="left"/>
      </w:pPr>
    </w:p>
    <w:p>
      <w:pPr>
        <w:jc w:val="center"/>
        <w:rPr>
          <w:bCs/>
          <w:sz w:val="24"/>
        </w:rPr>
      </w:pPr>
    </w:p>
    <w:p>
      <w:pPr>
        <w:jc w:val="center"/>
        <w:rPr>
          <w:bCs/>
          <w:sz w:val="24"/>
        </w:rPr>
      </w:pPr>
    </w:p>
    <w:p>
      <w:pPr>
        <w:jc w:val="center"/>
        <w:rPr>
          <w:bCs/>
          <w:sz w:val="24"/>
        </w:rPr>
      </w:pPr>
    </w:p>
    <w:p>
      <w:pPr>
        <w:jc w:val="center"/>
        <w:rPr>
          <w:bCs/>
          <w:sz w:val="24"/>
        </w:rPr>
      </w:pPr>
    </w:p>
    <w:p>
      <w:pPr>
        <w:jc w:val="center"/>
        <w:rPr>
          <w:bCs/>
          <w:sz w:val="24"/>
        </w:rPr>
      </w:pPr>
    </w:p>
    <w:p>
      <w:pPr>
        <w:jc w:val="center"/>
        <w:rPr>
          <w:bCs/>
          <w:sz w:val="24"/>
        </w:rPr>
      </w:pPr>
    </w:p>
    <w:p>
      <w:pPr>
        <w:jc w:val="center"/>
        <w:rPr>
          <w:bCs/>
          <w:sz w:val="24"/>
        </w:rPr>
      </w:pPr>
    </w:p>
    <w:p>
      <w:pPr>
        <w:jc w:val="center"/>
        <w:rPr>
          <w:bCs/>
          <w:sz w:val="24"/>
        </w:rPr>
      </w:pPr>
    </w:p>
    <w:p>
      <w:pPr>
        <w:jc w:val="center"/>
        <w:rPr>
          <w:bCs/>
          <w:sz w:val="24"/>
        </w:rPr>
      </w:pPr>
    </w:p>
    <w:p>
      <w:pPr>
        <w:jc w:val="center"/>
        <w:rPr>
          <w:bCs/>
          <w:sz w:val="24"/>
        </w:rPr>
      </w:pPr>
    </w:p>
    <w:p>
      <w:pPr>
        <w:jc w:val="center"/>
        <w:rPr>
          <w:bCs/>
          <w:sz w:val="24"/>
        </w:rPr>
      </w:pPr>
    </w:p>
    <w:p>
      <w:pPr>
        <w:jc w:val="center"/>
        <w:rPr>
          <w:bCs/>
          <w:sz w:val="24"/>
        </w:rPr>
      </w:pPr>
    </w:p>
    <w:p>
      <w:pPr>
        <w:jc w:val="center"/>
        <w:rPr>
          <w:bCs/>
          <w:sz w:val="24"/>
        </w:rPr>
      </w:pPr>
    </w:p>
    <w:p>
      <w:pPr>
        <w:jc w:val="center"/>
        <w:rPr>
          <w:bCs/>
          <w:sz w:val="24"/>
        </w:rPr>
      </w:pPr>
    </w:p>
    <w:p>
      <w:pPr>
        <w:jc w:val="center"/>
        <w:rPr>
          <w:bCs/>
          <w:sz w:val="24"/>
        </w:rPr>
      </w:pPr>
    </w:p>
    <w:p>
      <w:pPr>
        <w:jc w:val="center"/>
        <w:rPr>
          <w:bCs/>
          <w:sz w:val="24"/>
        </w:rPr>
      </w:pPr>
    </w:p>
    <w:p>
      <w:pPr>
        <w:jc w:val="center"/>
        <w:rPr>
          <w:bCs/>
          <w:sz w:val="24"/>
        </w:rPr>
      </w:pPr>
    </w:p>
    <w:p>
      <w:pPr>
        <w:jc w:val="center"/>
        <w:rPr>
          <w:bCs/>
          <w:sz w:val="24"/>
        </w:rPr>
      </w:pPr>
    </w:p>
    <w:p>
      <w:pPr>
        <w:jc w:val="center"/>
        <w:rPr>
          <w:bCs/>
          <w:sz w:val="24"/>
        </w:rPr>
      </w:pPr>
    </w:p>
    <w:p>
      <w:pPr>
        <w:jc w:val="center"/>
        <w:rPr>
          <w:bCs/>
          <w:sz w:val="24"/>
        </w:rPr>
      </w:pPr>
    </w:p>
    <w:p>
      <w:pPr>
        <w:jc w:val="center"/>
        <w:rPr>
          <w:bCs/>
          <w:sz w:val="24"/>
        </w:rPr>
      </w:pPr>
      <w:r>
        <w:rPr>
          <w:rFonts w:hint="eastAsia"/>
          <w:bCs/>
          <w:sz w:val="24"/>
        </w:rPr>
        <w:t xml:space="preserve">       </w:t>
      </w:r>
    </w:p>
    <w:p>
      <w:pPr>
        <w:jc w:val="center"/>
        <w:rPr>
          <w:bCs/>
          <w:sz w:val="24"/>
        </w:rPr>
      </w:pPr>
    </w:p>
    <w:p>
      <w:pPr>
        <w:widowControl/>
        <w:adjustRightInd w:val="0"/>
        <w:snapToGrid w:val="0"/>
        <w:spacing w:line="336" w:lineRule="auto"/>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附件3：</w:t>
      </w:r>
    </w:p>
    <w:p>
      <w:pPr>
        <w:jc w:val="center"/>
        <w:rPr>
          <w:b/>
          <w:kern w:val="0"/>
          <w:sz w:val="36"/>
          <w:szCs w:val="36"/>
        </w:rPr>
      </w:pPr>
      <w:r>
        <w:rPr>
          <w:rFonts w:hint="eastAsia"/>
          <w:bCs/>
          <w:sz w:val="24"/>
        </w:rPr>
        <w:t xml:space="preserve"> </w:t>
      </w:r>
      <w:r>
        <w:rPr>
          <w:b/>
          <w:kern w:val="0"/>
          <w:sz w:val="36"/>
          <w:szCs w:val="36"/>
        </w:rPr>
        <w:t>法定代表人身份证明</w:t>
      </w:r>
    </w:p>
    <w:p>
      <w:pPr>
        <w:spacing w:line="360" w:lineRule="auto"/>
        <w:jc w:val="center"/>
        <w:rPr>
          <w:b/>
          <w:szCs w:val="21"/>
        </w:rPr>
      </w:pPr>
    </w:p>
    <w:p>
      <w:pPr>
        <w:spacing w:line="360" w:lineRule="auto"/>
        <w:ind w:firstLine="708" w:firstLineChars="295"/>
        <w:rPr>
          <w:color w:val="000000"/>
          <w:sz w:val="24"/>
          <w:u w:val="single"/>
        </w:rPr>
      </w:pPr>
      <w:r>
        <w:rPr>
          <w:rFonts w:hint="eastAsia"/>
          <w:color w:val="000000"/>
          <w:sz w:val="24"/>
        </w:rPr>
        <w:t>竞价方</w:t>
      </w:r>
      <w:r>
        <w:rPr>
          <w:color w:val="000000"/>
          <w:sz w:val="24"/>
        </w:rPr>
        <w:t>名称：</w:t>
      </w:r>
      <w:r>
        <w:rPr>
          <w:color w:val="000000"/>
          <w:sz w:val="24"/>
          <w:u w:val="single"/>
        </w:rPr>
        <w:t xml:space="preserve">                             </w:t>
      </w:r>
    </w:p>
    <w:p>
      <w:pPr>
        <w:spacing w:line="360" w:lineRule="auto"/>
        <w:ind w:firstLine="708" w:firstLineChars="295"/>
        <w:rPr>
          <w:color w:val="000000"/>
          <w:sz w:val="24"/>
        </w:rPr>
      </w:pPr>
      <w:r>
        <w:rPr>
          <w:color w:val="000000"/>
          <w:sz w:val="24"/>
        </w:rPr>
        <w:t>单位性质：</w:t>
      </w:r>
      <w:r>
        <w:rPr>
          <w:color w:val="000000"/>
          <w:sz w:val="24"/>
          <w:u w:val="single"/>
        </w:rPr>
        <w:t xml:space="preserve">                                </w:t>
      </w:r>
    </w:p>
    <w:p>
      <w:pPr>
        <w:spacing w:line="360" w:lineRule="auto"/>
        <w:ind w:firstLine="708" w:firstLineChars="295"/>
        <w:rPr>
          <w:color w:val="000000"/>
          <w:sz w:val="24"/>
          <w:u w:val="single"/>
        </w:rPr>
      </w:pPr>
      <w:r>
        <w:rPr>
          <w:color w:val="000000"/>
          <w:sz w:val="24"/>
        </w:rPr>
        <w:t>地</w:t>
      </w:r>
      <w:r>
        <w:rPr>
          <w:rFonts w:hint="eastAsia"/>
          <w:color w:val="000000"/>
          <w:sz w:val="24"/>
        </w:rPr>
        <w:t xml:space="preserve"> </w:t>
      </w:r>
      <w:r>
        <w:rPr>
          <w:color w:val="000000"/>
          <w:sz w:val="24"/>
        </w:rPr>
        <w:t xml:space="preserve">   址：</w:t>
      </w:r>
      <w:r>
        <w:rPr>
          <w:color w:val="000000"/>
          <w:sz w:val="24"/>
          <w:u w:val="single"/>
        </w:rPr>
        <w:t xml:space="preserve">                                   </w:t>
      </w:r>
    </w:p>
    <w:p>
      <w:pPr>
        <w:spacing w:line="360" w:lineRule="auto"/>
        <w:ind w:firstLine="708" w:firstLineChars="295"/>
        <w:rPr>
          <w:color w:val="000000"/>
          <w:sz w:val="24"/>
        </w:rPr>
      </w:pPr>
      <w:r>
        <w:rPr>
          <w:color w:val="000000"/>
          <w:sz w:val="24"/>
        </w:rPr>
        <w:t>成立时间：</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pPr>
        <w:spacing w:line="360" w:lineRule="auto"/>
        <w:ind w:firstLine="708" w:firstLineChars="295"/>
        <w:rPr>
          <w:color w:val="000000"/>
          <w:sz w:val="24"/>
        </w:rPr>
      </w:pPr>
      <w:r>
        <w:rPr>
          <w:color w:val="000000"/>
          <w:sz w:val="24"/>
        </w:rPr>
        <w:t>经营期限：</w:t>
      </w:r>
      <w:r>
        <w:rPr>
          <w:color w:val="000000"/>
          <w:sz w:val="24"/>
          <w:u w:val="single"/>
        </w:rPr>
        <w:t xml:space="preserve">                               </w:t>
      </w:r>
    </w:p>
    <w:p>
      <w:pPr>
        <w:spacing w:line="360" w:lineRule="auto"/>
        <w:ind w:left="707" w:leftChars="337" w:firstLine="1"/>
        <w:rPr>
          <w:color w:val="000000"/>
          <w:sz w:val="24"/>
        </w:rPr>
      </w:pPr>
      <w:r>
        <w:rPr>
          <w:color w:val="000000"/>
          <w:sz w:val="24"/>
        </w:rPr>
        <w:t>姓名：</w:t>
      </w:r>
      <w:r>
        <w:rPr>
          <w:color w:val="000000"/>
          <w:sz w:val="24"/>
          <w:u w:val="single"/>
        </w:rPr>
        <w:t xml:space="preserve">     </w:t>
      </w:r>
      <w:r>
        <w:rPr>
          <w:rFonts w:hint="eastAsia"/>
          <w:color w:val="000000"/>
          <w:sz w:val="24"/>
        </w:rPr>
        <w:t>，</w:t>
      </w:r>
      <w:r>
        <w:rPr>
          <w:color w:val="000000"/>
          <w:sz w:val="24"/>
        </w:rPr>
        <w:t xml:space="preserve"> 性别：</w:t>
      </w:r>
      <w:r>
        <w:rPr>
          <w:color w:val="000000"/>
          <w:sz w:val="24"/>
          <w:u w:val="single"/>
        </w:rPr>
        <w:t xml:space="preserve">   </w:t>
      </w:r>
      <w:r>
        <w:rPr>
          <w:rFonts w:hint="eastAsia"/>
          <w:color w:val="000000"/>
          <w:sz w:val="24"/>
        </w:rPr>
        <w:t>，身份证号码</w:t>
      </w:r>
      <w:r>
        <w:rPr>
          <w:color w:val="000000"/>
          <w:sz w:val="24"/>
        </w:rPr>
        <w:t>：</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color w:val="000000"/>
          <w:sz w:val="24"/>
        </w:rPr>
        <w:t>职务：</w:t>
      </w:r>
      <w:r>
        <w:rPr>
          <w:color w:val="000000"/>
          <w:sz w:val="24"/>
          <w:u w:val="single"/>
        </w:rPr>
        <w:t xml:space="preserve">      </w:t>
      </w:r>
      <w:r>
        <w:rPr>
          <w:color w:val="000000"/>
          <w:sz w:val="24"/>
        </w:rPr>
        <w:t xml:space="preserve"> 系  </w:t>
      </w:r>
      <w:r>
        <w:rPr>
          <w:rFonts w:hint="eastAsia"/>
          <w:color w:val="FF0000"/>
          <w:sz w:val="24"/>
          <w:u w:val="single"/>
        </w:rPr>
        <w:t>竞 价 方 全 称</w:t>
      </w:r>
      <w:r>
        <w:rPr>
          <w:color w:val="000000"/>
          <w:sz w:val="24"/>
        </w:rPr>
        <w:t>的法定代表人。</w:t>
      </w:r>
    </w:p>
    <w:p>
      <w:pPr>
        <w:spacing w:line="360" w:lineRule="auto"/>
        <w:ind w:left="707" w:leftChars="337" w:firstLine="1"/>
        <w:rPr>
          <w:color w:val="000000"/>
          <w:sz w:val="24"/>
        </w:rPr>
      </w:pPr>
      <w:r>
        <w:rPr>
          <w:color w:val="000000"/>
          <w:sz w:val="24"/>
        </w:rPr>
        <w:t>特此证明。</w:t>
      </w:r>
    </w:p>
    <w:p>
      <w:pPr>
        <w:spacing w:line="360" w:lineRule="auto"/>
        <w:rPr>
          <w:sz w:val="24"/>
        </w:rPr>
      </w:pPr>
    </w:p>
    <w:p>
      <w:pPr>
        <w:spacing w:line="360" w:lineRule="auto"/>
        <w:rPr>
          <w:sz w:val="24"/>
        </w:rPr>
      </w:pPr>
    </w:p>
    <w:p>
      <w:pPr>
        <w:spacing w:line="360" w:lineRule="auto"/>
        <w:ind w:left="161" w:hanging="160" w:hangingChars="67"/>
        <w:rPr>
          <w:sz w:val="24"/>
        </w:rPr>
      </w:pPr>
    </w:p>
    <w:p>
      <w:pPr>
        <w:spacing w:line="360" w:lineRule="auto"/>
        <w:rPr>
          <w:sz w:val="24"/>
        </w:rPr>
      </w:pPr>
    </w:p>
    <w:p>
      <w:pPr>
        <w:spacing w:line="360" w:lineRule="auto"/>
        <w:rPr>
          <w:sz w:val="24"/>
        </w:rPr>
      </w:pPr>
    </w:p>
    <w:p>
      <w:pPr>
        <w:spacing w:line="360" w:lineRule="auto"/>
        <w:rPr>
          <w:sz w:val="24"/>
        </w:rPr>
      </w:pPr>
    </w:p>
    <w:p>
      <w:pPr>
        <w:spacing w:line="360" w:lineRule="auto"/>
        <w:ind w:right="1556" w:rightChars="741"/>
        <w:jc w:val="right"/>
        <w:rPr>
          <w:sz w:val="24"/>
        </w:rPr>
      </w:pPr>
      <w:r>
        <w:rPr>
          <w:rFonts w:hint="eastAsia"/>
          <w:sz w:val="24"/>
        </w:rPr>
        <w:t>竞价方</w:t>
      </w:r>
      <w:r>
        <w:rPr>
          <w:sz w:val="24"/>
        </w:rPr>
        <w:t>：</w:t>
      </w:r>
      <w:r>
        <w:rPr>
          <w:sz w:val="24"/>
          <w:u w:val="single"/>
        </w:rPr>
        <w:t xml:space="preserve">                 </w:t>
      </w:r>
      <w:r>
        <w:rPr>
          <w:sz w:val="24"/>
        </w:rPr>
        <w:t>（盖</w:t>
      </w:r>
      <w:r>
        <w:rPr>
          <w:rFonts w:hint="eastAsia"/>
          <w:sz w:val="24"/>
        </w:rPr>
        <w:t>公</w:t>
      </w:r>
      <w:r>
        <w:rPr>
          <w:sz w:val="24"/>
        </w:rPr>
        <w:t>章）</w:t>
      </w:r>
    </w:p>
    <w:p>
      <w:pPr>
        <w:spacing w:line="360" w:lineRule="auto"/>
        <w:ind w:right="1556" w:rightChars="741"/>
        <w:jc w:val="right"/>
        <w:rPr>
          <w:sz w:val="24"/>
        </w:rPr>
      </w:pPr>
    </w:p>
    <w:p>
      <w:pPr>
        <w:ind w:right="1556" w:rightChars="741"/>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jc w:val="center"/>
        <w:rPr>
          <w:b/>
          <w:kern w:val="0"/>
          <w:sz w:val="24"/>
        </w:rPr>
      </w:pPr>
    </w:p>
    <w:p>
      <w:pPr>
        <w:jc w:val="center"/>
        <w:rPr>
          <w:b/>
          <w:kern w:val="0"/>
          <w:sz w:val="36"/>
          <w:szCs w:val="36"/>
        </w:rPr>
      </w:pPr>
    </w:p>
    <w:p>
      <w:pPr>
        <w:jc w:val="center"/>
        <w:rPr>
          <w:b/>
          <w:kern w:val="0"/>
          <w:sz w:val="36"/>
          <w:szCs w:val="36"/>
        </w:rPr>
      </w:pPr>
    </w:p>
    <w:p>
      <w:pPr>
        <w:jc w:val="center"/>
        <w:rPr>
          <w:b/>
          <w:kern w:val="0"/>
          <w:sz w:val="36"/>
          <w:szCs w:val="36"/>
        </w:rPr>
      </w:pPr>
    </w:p>
    <w:p>
      <w:pPr>
        <w:jc w:val="center"/>
        <w:rPr>
          <w:b/>
          <w:kern w:val="0"/>
          <w:sz w:val="36"/>
          <w:szCs w:val="36"/>
        </w:rPr>
      </w:pPr>
    </w:p>
    <w:p>
      <w:pPr>
        <w:jc w:val="center"/>
        <w:rPr>
          <w:b/>
          <w:kern w:val="0"/>
          <w:sz w:val="36"/>
          <w:szCs w:val="36"/>
        </w:rPr>
      </w:pPr>
    </w:p>
    <w:p>
      <w:pPr>
        <w:jc w:val="center"/>
        <w:rPr>
          <w:b/>
          <w:kern w:val="0"/>
          <w:sz w:val="36"/>
          <w:szCs w:val="36"/>
        </w:rPr>
      </w:pPr>
    </w:p>
    <w:p>
      <w:pPr>
        <w:jc w:val="center"/>
        <w:rPr>
          <w:b/>
          <w:kern w:val="0"/>
          <w:sz w:val="36"/>
          <w:szCs w:val="36"/>
        </w:rPr>
      </w:pPr>
    </w:p>
    <w:p>
      <w:pPr>
        <w:rPr>
          <w:b/>
          <w:kern w:val="0"/>
          <w:sz w:val="36"/>
          <w:szCs w:val="36"/>
        </w:rPr>
      </w:pPr>
    </w:p>
    <w:p>
      <w:pPr>
        <w:rPr>
          <w:b/>
          <w:kern w:val="0"/>
          <w:sz w:val="36"/>
          <w:szCs w:val="36"/>
        </w:rPr>
      </w:pPr>
    </w:p>
    <w:p>
      <w:pPr>
        <w:widowControl/>
        <w:adjustRightInd w:val="0"/>
        <w:snapToGrid w:val="0"/>
        <w:spacing w:line="336" w:lineRule="auto"/>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附件4：</w:t>
      </w:r>
    </w:p>
    <w:p>
      <w:pPr>
        <w:jc w:val="center"/>
        <w:rPr>
          <w:b/>
          <w:kern w:val="0"/>
          <w:sz w:val="36"/>
          <w:szCs w:val="36"/>
        </w:rPr>
      </w:pPr>
      <w:r>
        <w:rPr>
          <w:rFonts w:hint="eastAsia"/>
          <w:b/>
          <w:kern w:val="0"/>
          <w:sz w:val="36"/>
          <w:szCs w:val="36"/>
        </w:rPr>
        <w:t>法定代表人授权委托书</w:t>
      </w:r>
    </w:p>
    <w:p>
      <w:pPr>
        <w:jc w:val="center"/>
        <w:rPr>
          <w:color w:val="000000"/>
          <w:szCs w:val="21"/>
        </w:rPr>
      </w:pPr>
    </w:p>
    <w:p>
      <w:pPr>
        <w:spacing w:line="360" w:lineRule="auto"/>
        <w:ind w:left="848" w:leftChars="404" w:right="594" w:rightChars="283" w:firstLine="569"/>
        <w:rPr>
          <w:color w:val="000000"/>
          <w:sz w:val="24"/>
          <w:u w:val="single"/>
        </w:rPr>
      </w:pPr>
      <w:r>
        <w:rPr>
          <w:rFonts w:hint="eastAsia"/>
          <w:color w:val="000000"/>
          <w:sz w:val="24"/>
          <w:u w:val="single"/>
        </w:rPr>
        <w:t>蒙牛高科乳制品武汉有限责任公司：</w:t>
      </w:r>
    </w:p>
    <w:p>
      <w:pPr>
        <w:spacing w:line="360" w:lineRule="auto"/>
        <w:ind w:left="850" w:leftChars="405" w:firstLine="569"/>
        <w:rPr>
          <w:color w:val="000000"/>
          <w:sz w:val="24"/>
        </w:rPr>
      </w:pPr>
      <w:r>
        <w:rPr>
          <w:rFonts w:hint="eastAsia"/>
          <w:color w:val="000000"/>
          <w:sz w:val="24"/>
          <w:u w:val="single"/>
        </w:rPr>
        <w:t xml:space="preserve">         （竞价方全称）</w:t>
      </w:r>
      <w:r>
        <w:rPr>
          <w:rFonts w:hint="eastAsia"/>
          <w:color w:val="000000"/>
          <w:sz w:val="24"/>
        </w:rPr>
        <w:t>法定代表人</w:t>
      </w:r>
      <w:r>
        <w:rPr>
          <w:rFonts w:hint="eastAsia"/>
          <w:color w:val="000000"/>
          <w:sz w:val="24"/>
          <w:u w:val="single"/>
        </w:rPr>
        <w:t xml:space="preserve">           </w:t>
      </w:r>
      <w:r>
        <w:rPr>
          <w:rFonts w:hint="eastAsia"/>
          <w:color w:val="000000"/>
          <w:sz w:val="24"/>
        </w:rPr>
        <w:t>授权</w:t>
      </w:r>
      <w:r>
        <w:rPr>
          <w:rFonts w:hint="eastAsia"/>
          <w:color w:val="FF0000"/>
          <w:sz w:val="24"/>
          <w:u w:val="single"/>
        </w:rPr>
        <w:t>（代表姓名）</w:t>
      </w:r>
      <w:r>
        <w:rPr>
          <w:rFonts w:hint="eastAsia"/>
          <w:color w:val="000000"/>
          <w:sz w:val="24"/>
        </w:rPr>
        <w:t>为全权代表法定代表人，参加贵方组织的</w:t>
      </w:r>
      <w:r>
        <w:rPr>
          <w:rFonts w:hint="eastAsia"/>
          <w:color w:val="000000"/>
          <w:sz w:val="24"/>
          <w:u w:val="single"/>
        </w:rPr>
        <w:t>蒙牛乳业低温武汉工厂灌装臭氧杀菌设备采购项目</w:t>
      </w:r>
      <w:r>
        <w:rPr>
          <w:rFonts w:hint="eastAsia"/>
          <w:color w:val="000000"/>
          <w:sz w:val="24"/>
        </w:rPr>
        <w:t>询比价谈判会议，全权处理谈判活动中的一切事宜。</w:t>
      </w:r>
    </w:p>
    <w:p>
      <w:pPr>
        <w:spacing w:line="360" w:lineRule="auto"/>
        <w:ind w:left="850" w:leftChars="405" w:firstLine="569"/>
        <w:rPr>
          <w:color w:val="000000"/>
          <w:sz w:val="24"/>
        </w:rPr>
      </w:pPr>
      <w:r>
        <w:rPr>
          <w:rFonts w:hint="eastAsia"/>
          <w:color w:val="000000"/>
          <w:sz w:val="24"/>
        </w:rPr>
        <w:t>法定代表人授权委托书有效期____年__月__日至____年__月__日</w:t>
      </w:r>
    </w:p>
    <w:p>
      <w:pPr>
        <w:spacing w:line="360" w:lineRule="auto"/>
        <w:ind w:left="850" w:leftChars="405" w:firstLine="569"/>
        <w:rPr>
          <w:color w:val="000000"/>
          <w:sz w:val="24"/>
        </w:rPr>
      </w:pPr>
      <w:r>
        <w:rPr>
          <w:rFonts w:hint="eastAsia"/>
          <w:color w:val="000000"/>
          <w:sz w:val="24"/>
        </w:rPr>
        <w:t>竞价方全称</w:t>
      </w:r>
      <w:r>
        <w:rPr>
          <w:rFonts w:hint="eastAsia"/>
          <w:color w:val="FF0000"/>
          <w:sz w:val="24"/>
        </w:rPr>
        <w:t>（公章）</w:t>
      </w:r>
      <w:r>
        <w:rPr>
          <w:rFonts w:hint="eastAsia"/>
          <w:color w:val="000000"/>
          <w:sz w:val="24"/>
        </w:rPr>
        <w:t>：</w:t>
      </w:r>
    </w:p>
    <w:p>
      <w:pPr>
        <w:spacing w:line="360" w:lineRule="auto"/>
        <w:ind w:left="850" w:leftChars="405" w:firstLine="569"/>
        <w:rPr>
          <w:color w:val="000000"/>
          <w:sz w:val="24"/>
        </w:rPr>
      </w:pPr>
      <w:r>
        <w:rPr>
          <w:rFonts w:hint="eastAsia"/>
          <w:color w:val="000000"/>
          <w:sz w:val="24"/>
        </w:rPr>
        <w:t>法定代表人</w:t>
      </w:r>
      <w:r>
        <w:rPr>
          <w:rFonts w:hint="eastAsia"/>
          <w:color w:val="FF0000"/>
          <w:sz w:val="24"/>
        </w:rPr>
        <w:t>（签字或印章）</w:t>
      </w:r>
      <w:r>
        <w:rPr>
          <w:rFonts w:hint="eastAsia"/>
          <w:color w:val="000000"/>
          <w:sz w:val="24"/>
        </w:rPr>
        <w:t xml:space="preserve">： </w:t>
      </w:r>
    </w:p>
    <w:p>
      <w:pPr>
        <w:spacing w:line="360" w:lineRule="auto"/>
        <w:ind w:left="850" w:leftChars="405" w:firstLine="569"/>
        <w:rPr>
          <w:color w:val="000000"/>
          <w:sz w:val="24"/>
        </w:rPr>
      </w:pPr>
      <w:r>
        <w:rPr>
          <w:rFonts w:hint="eastAsia"/>
          <w:color w:val="000000"/>
          <w:sz w:val="24"/>
        </w:rPr>
        <w:t>授权委托人</w:t>
      </w:r>
      <w:r>
        <w:rPr>
          <w:rFonts w:hint="eastAsia"/>
          <w:color w:val="FF0000"/>
          <w:sz w:val="24"/>
        </w:rPr>
        <w:t>（签字）</w:t>
      </w:r>
      <w:r>
        <w:rPr>
          <w:rFonts w:hint="eastAsia"/>
          <w:color w:val="000000"/>
          <w:sz w:val="24"/>
        </w:rPr>
        <w:t xml:space="preserve">：      </w:t>
      </w:r>
    </w:p>
    <w:p>
      <w:pPr>
        <w:spacing w:line="360" w:lineRule="auto"/>
        <w:ind w:left="850" w:leftChars="405" w:firstLine="569"/>
        <w:rPr>
          <w:color w:val="000000"/>
          <w:sz w:val="24"/>
        </w:rPr>
      </w:pPr>
      <w:r>
        <w:rPr>
          <w:rFonts w:hint="eastAsia"/>
          <w:color w:val="000000"/>
          <w:sz w:val="24"/>
        </w:rPr>
        <w:t>身份证号码：</w:t>
      </w:r>
    </w:p>
    <w:p>
      <w:pPr>
        <w:spacing w:line="360" w:lineRule="auto"/>
        <w:ind w:left="850" w:leftChars="405" w:firstLine="569"/>
        <w:rPr>
          <w:color w:val="000000"/>
          <w:sz w:val="24"/>
        </w:rPr>
      </w:pPr>
      <w:r>
        <w:rPr>
          <w:rFonts w:hint="eastAsia"/>
          <w:color w:val="000000"/>
          <w:sz w:val="24"/>
        </w:rPr>
        <w:t xml:space="preserve">职 </w:t>
      </w:r>
      <w:r>
        <w:rPr>
          <w:color w:val="000000"/>
          <w:sz w:val="24"/>
        </w:rPr>
        <w:t xml:space="preserve">     </w:t>
      </w:r>
      <w:r>
        <w:rPr>
          <w:rFonts w:hint="eastAsia"/>
          <w:color w:val="000000"/>
          <w:sz w:val="24"/>
        </w:rPr>
        <w:t>务：</w:t>
      </w:r>
    </w:p>
    <w:p>
      <w:pPr>
        <w:spacing w:line="360" w:lineRule="auto"/>
        <w:ind w:left="850" w:leftChars="405" w:firstLine="569"/>
        <w:rPr>
          <w:color w:val="000000"/>
          <w:sz w:val="24"/>
        </w:rPr>
      </w:pPr>
      <w:r>
        <w:rPr>
          <w:rFonts w:hint="eastAsia"/>
          <w:color w:val="000000"/>
          <w:sz w:val="24"/>
        </w:rPr>
        <w:t xml:space="preserve"> </w:t>
      </w:r>
      <w:r>
        <w:rPr>
          <w:color w:val="000000"/>
          <w:sz w:val="24"/>
        </w:rPr>
        <w:t xml:space="preserve">                                     </w:t>
      </w:r>
      <w:r>
        <w:rPr>
          <w:rFonts w:hint="eastAsia"/>
          <w:color w:val="000000"/>
          <w:sz w:val="24"/>
        </w:rPr>
        <w:t xml:space="preserve">年 </w:t>
      </w:r>
      <w:r>
        <w:rPr>
          <w:color w:val="000000"/>
          <w:sz w:val="24"/>
        </w:rPr>
        <w:t xml:space="preserve">   </w:t>
      </w:r>
      <w:r>
        <w:rPr>
          <w:rFonts w:hint="eastAsia"/>
          <w:color w:val="000000"/>
          <w:sz w:val="24"/>
        </w:rPr>
        <w:t xml:space="preserve">月 </w:t>
      </w:r>
      <w:r>
        <w:rPr>
          <w:color w:val="000000"/>
          <w:sz w:val="24"/>
        </w:rPr>
        <w:t xml:space="preserve">  </w:t>
      </w:r>
      <w:r>
        <w:rPr>
          <w:rFonts w:hint="eastAsia"/>
          <w:color w:val="000000"/>
          <w:sz w:val="24"/>
        </w:rPr>
        <w:t>日</w:t>
      </w:r>
      <w:r>
        <w:rPr>
          <w:color w:val="000000"/>
          <w:sz w:val="24"/>
        </w:rPr>
        <w:t xml:space="preserve">    </w:t>
      </w:r>
    </w:p>
    <w:p>
      <w:pPr>
        <w:ind w:firstLine="847" w:firstLineChars="353"/>
        <w:rPr>
          <w:b/>
          <w:bCs/>
          <w:color w:val="000000"/>
          <w:sz w:val="24"/>
        </w:rPr>
      </w:pPr>
      <w:r>
        <w:rPr>
          <w:rFonts w:hint="eastAsia"/>
          <w:b/>
          <w:bCs/>
          <w:color w:val="000000"/>
          <w:sz w:val="24"/>
        </w:rPr>
        <w:t>附：</w:t>
      </w:r>
    </w:p>
    <w:tbl>
      <w:tblPr>
        <w:tblStyle w:val="12"/>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6" w:hRule="atLeast"/>
          <w:jc w:val="center"/>
        </w:trPr>
        <w:tc>
          <w:tcPr>
            <w:tcW w:w="4498" w:type="dxa"/>
          </w:tcPr>
          <w:p>
            <w:pPr>
              <w:ind w:left="128" w:leftChars="61"/>
              <w:jc w:val="center"/>
              <w:rPr>
                <w:color w:val="000000"/>
                <w:sz w:val="24"/>
              </w:rPr>
            </w:pPr>
            <w:r>
              <w:rPr>
                <w:rFonts w:hint="eastAsia"/>
                <w:color w:val="000000"/>
                <w:sz w:val="24"/>
              </w:rPr>
              <w:t>法定代表人身份证复印件（正反面）</w:t>
            </w:r>
          </w:p>
        </w:tc>
        <w:tc>
          <w:tcPr>
            <w:tcW w:w="4253" w:type="dxa"/>
          </w:tcPr>
          <w:p>
            <w:pPr>
              <w:ind w:left="128" w:leftChars="61"/>
              <w:jc w:val="center"/>
              <w:rPr>
                <w:color w:val="000000"/>
                <w:sz w:val="24"/>
              </w:rPr>
            </w:pPr>
            <w:r>
              <w:rPr>
                <w:rFonts w:hint="eastAsia"/>
                <w:color w:val="000000"/>
                <w:sz w:val="24"/>
              </w:rPr>
              <w:t>授权委托人身份证复印件（正反面）</w:t>
            </w:r>
          </w:p>
        </w:tc>
      </w:tr>
    </w:tbl>
    <w:p>
      <w:pPr>
        <w:spacing w:line="360" w:lineRule="auto"/>
        <w:jc w:val="center"/>
        <w:rPr>
          <w:b/>
          <w:sz w:val="32"/>
          <w:szCs w:val="32"/>
        </w:rPr>
      </w:pPr>
    </w:p>
    <w:p>
      <w:pPr>
        <w:spacing w:line="360" w:lineRule="auto"/>
        <w:jc w:val="center"/>
        <w:rPr>
          <w:b/>
          <w:sz w:val="32"/>
          <w:szCs w:val="32"/>
        </w:rPr>
      </w:pPr>
    </w:p>
    <w:p>
      <w:pPr>
        <w:spacing w:line="360" w:lineRule="auto"/>
        <w:rPr>
          <w:b/>
          <w:sz w:val="32"/>
          <w:szCs w:val="32"/>
        </w:rPr>
      </w:pPr>
    </w:p>
    <w:p>
      <w:pPr>
        <w:spacing w:line="360" w:lineRule="auto"/>
        <w:rPr>
          <w:b/>
          <w:sz w:val="32"/>
          <w:szCs w:val="32"/>
        </w:rPr>
      </w:pPr>
    </w:p>
    <w:p>
      <w:pPr>
        <w:spacing w:line="360" w:lineRule="auto"/>
        <w:jc w:val="center"/>
        <w:rPr>
          <w:b/>
          <w:sz w:val="32"/>
          <w:szCs w:val="32"/>
        </w:rPr>
      </w:pPr>
      <w:r>
        <w:rPr>
          <w:rFonts w:hint="eastAsia"/>
          <w:b/>
          <w:sz w:val="32"/>
          <w:szCs w:val="32"/>
        </w:rPr>
        <w:t>授权委托人社保证明材料</w:t>
      </w:r>
    </w:p>
    <w:p>
      <w:pPr>
        <w:spacing w:line="360" w:lineRule="auto"/>
        <w:jc w:val="center"/>
        <w:rPr>
          <w:i/>
          <w:color w:val="FF0000"/>
          <w:szCs w:val="21"/>
          <w:shd w:val="clear" w:color="auto" w:fill="FFFFFF"/>
        </w:rPr>
        <w:sectPr>
          <w:pgSz w:w="11906" w:h="16838"/>
          <w:pgMar w:top="720" w:right="1558" w:bottom="720" w:left="1134" w:header="851" w:footer="992" w:gutter="0"/>
          <w:cols w:space="720" w:num="1"/>
          <w:docGrid w:type="linesAndChars" w:linePitch="312" w:charSpace="0"/>
        </w:sectPr>
      </w:pPr>
      <w:r>
        <w:rPr>
          <w:rFonts w:hint="eastAsia"/>
          <w:i/>
          <w:color w:val="FF0000"/>
          <w:szCs w:val="21"/>
          <w:shd w:val="clear" w:color="auto" w:fill="FFFFFF"/>
        </w:rPr>
        <w:t>（要求：1、具备社保局出具的材料；2、具备本单位名称及授权委托人姓名。）</w:t>
      </w:r>
    </w:p>
    <w:p>
      <w:pPr>
        <w:widowControl/>
        <w:adjustRightInd w:val="0"/>
        <w:snapToGrid w:val="0"/>
        <w:spacing w:line="336" w:lineRule="auto"/>
        <w:textAlignment w:val="baseline"/>
        <w:rPr>
          <w:rFonts w:ascii="微软雅黑" w:hAnsi="微软雅黑" w:eastAsia="微软雅黑"/>
          <w:color w:val="000000"/>
          <w:kern w:val="0"/>
          <w:sz w:val="24"/>
        </w:rPr>
      </w:pPr>
      <w:r>
        <w:rPr>
          <w:rFonts w:hint="eastAsia" w:ascii="微软雅黑" w:hAnsi="微软雅黑" w:eastAsia="微软雅黑"/>
          <w:color w:val="000000"/>
          <w:kern w:val="0"/>
          <w:sz w:val="24"/>
        </w:rPr>
        <w:t>附件5：</w:t>
      </w:r>
    </w:p>
    <w:p>
      <w:pPr>
        <w:pStyle w:val="11"/>
        <w:rPr>
          <w:rFonts w:ascii="仿宋" w:hAnsi="仿宋" w:cs="宋体"/>
          <w:color w:val="000000" w:themeColor="text1"/>
          <w:kern w:val="0"/>
          <w:szCs w:val="28"/>
          <w14:textFill>
            <w14:solidFill>
              <w14:schemeClr w14:val="tx1"/>
            </w14:solidFill>
          </w14:textFill>
        </w:rPr>
      </w:pPr>
      <w:r>
        <w:rPr>
          <w:rFonts w:hint="eastAsia" w:asciiTheme="minorEastAsia" w:hAnsiTheme="minorEastAsia" w:eastAsiaTheme="minorEastAsia"/>
        </w:rPr>
        <w:t>臭氧杀菌机</w:t>
      </w:r>
      <w:r>
        <w:rPr>
          <w:rFonts w:hint="eastAsia"/>
        </w:rPr>
        <w:t>技术方案</w:t>
      </w:r>
    </w:p>
    <w:p>
      <w:pPr>
        <w:pStyle w:val="21"/>
        <w:numPr>
          <w:ilvl w:val="0"/>
          <w:numId w:val="3"/>
        </w:numPr>
        <w:ind w:firstLineChars="0"/>
        <w:rPr>
          <w:rFonts w:ascii="仿宋" w:hAnsi="仿宋" w:eastAsia="仿宋" w:cs="宋体"/>
          <w:b/>
          <w:color w:val="000000" w:themeColor="text1"/>
          <w:kern w:val="0"/>
          <w:sz w:val="32"/>
          <w:szCs w:val="28"/>
          <w14:textFill>
            <w14:solidFill>
              <w14:schemeClr w14:val="tx1"/>
            </w14:solidFill>
          </w14:textFill>
        </w:rPr>
      </w:pPr>
      <w:r>
        <w:rPr>
          <w:rFonts w:ascii="仿宋" w:hAnsi="仿宋" w:eastAsia="仿宋" w:cs="宋体"/>
          <w:b/>
          <w:color w:val="000000" w:themeColor="text1"/>
          <w:kern w:val="0"/>
          <w:sz w:val="32"/>
          <w:szCs w:val="28"/>
          <w14:textFill>
            <w14:solidFill>
              <w14:schemeClr w14:val="tx1"/>
            </w14:solidFill>
          </w14:textFill>
        </w:rPr>
        <w:t>供应范围</w:t>
      </w:r>
    </w:p>
    <w:p>
      <w:pPr>
        <w:spacing w:line="360" w:lineRule="auto"/>
        <w:ind w:left="-567" w:leftChars="-270" w:right="-764" w:rightChars="-364" w:firstLine="1125" w:firstLineChars="402"/>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为了提升灌装间洁净环境，需要新增加4套臭氧消毒设备，对总体积为40000m³罐装车间及果粒车间消毒杀菌，灌装间现有8套空调，总风量为500000m³/小时，要求满足灌装间在30min内臭氧浓度达到10ppm效果。要求：</w:t>
      </w:r>
      <w:r>
        <w:rPr>
          <w:rFonts w:hint="eastAsia" w:ascii="仿宋" w:hAnsi="仿宋" w:eastAsia="仿宋" w:cs="宋体"/>
          <w:color w:val="000000" w:themeColor="text1"/>
          <w:kern w:val="0"/>
          <w:sz w:val="28"/>
          <w:szCs w:val="28"/>
          <w:lang w:val="de-DE"/>
          <w14:textFill>
            <w14:solidFill>
              <w14:schemeClr w14:val="tx1"/>
            </w14:solidFill>
          </w14:textFill>
        </w:rPr>
        <w:t>水冷</w:t>
      </w:r>
      <w:r>
        <w:rPr>
          <w:rFonts w:hint="eastAsia" w:ascii="仿宋" w:hAnsi="仿宋" w:eastAsia="仿宋" w:cs="宋体"/>
          <w:color w:val="000000" w:themeColor="text1"/>
          <w:kern w:val="0"/>
          <w:sz w:val="28"/>
          <w:szCs w:val="28"/>
          <w14:textFill>
            <w14:solidFill>
              <w14:schemeClr w14:val="tx1"/>
            </w14:solidFill>
          </w14:textFill>
        </w:rPr>
        <w:t>式900克/小时臭氧发生器</w:t>
      </w:r>
      <w:r>
        <w:rPr>
          <w:rFonts w:hint="eastAsia" w:ascii="仿宋" w:hAnsi="仿宋" w:eastAsia="仿宋" w:cs="宋体"/>
          <w:color w:val="000000" w:themeColor="text1"/>
          <w:kern w:val="0"/>
          <w:sz w:val="28"/>
          <w:szCs w:val="28"/>
          <w:lang w:val="de-DE"/>
          <w14:textFill>
            <w14:solidFill>
              <w14:schemeClr w14:val="tx1"/>
            </w14:solidFill>
          </w14:textFill>
        </w:rPr>
        <w:t>；安装方式：外置式；安装位置：车间空调机房。</w:t>
      </w:r>
    </w:p>
    <w:p>
      <w:pPr>
        <w:spacing w:line="360" w:lineRule="auto"/>
        <w:ind w:left="-424" w:leftChars="-202" w:firstLine="560" w:firstLineChars="200"/>
      </w:pPr>
      <w:r>
        <w:rPr>
          <w:rFonts w:ascii="仿宋" w:hAnsi="仿宋" w:eastAsia="仿宋" w:cs="宋体"/>
          <w:color w:val="000000" w:themeColor="text1"/>
          <w:kern w:val="0"/>
          <w:sz w:val="28"/>
          <w:szCs w:val="28"/>
          <w14:textFill>
            <w14:solidFill>
              <w14:schemeClr w14:val="tx1"/>
            </w14:solidFill>
          </w14:textFill>
        </w:rPr>
        <w:t>工作范围包括但不限于</w:t>
      </w:r>
      <w:r>
        <w:rPr>
          <w:rFonts w:hint="eastAsia" w:ascii="仿宋" w:hAnsi="仿宋" w:eastAsia="仿宋" w:cs="宋体"/>
          <w:color w:val="000000" w:themeColor="text1"/>
          <w:kern w:val="0"/>
          <w:sz w:val="28"/>
          <w:szCs w:val="28"/>
          <w14:textFill>
            <w14:solidFill>
              <w14:schemeClr w14:val="tx1"/>
            </w14:solidFill>
          </w14:textFill>
        </w:rPr>
        <w:t>：</w:t>
      </w:r>
    </w:p>
    <w:p>
      <w:pPr>
        <w:widowControl/>
        <w:numPr>
          <w:ilvl w:val="0"/>
          <w:numId w:val="4"/>
        </w:numPr>
        <w:spacing w:line="360" w:lineRule="auto"/>
        <w:ind w:left="567"/>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和蒙牛团队进行技术交流</w:t>
      </w:r>
    </w:p>
    <w:p>
      <w:pPr>
        <w:widowControl/>
        <w:numPr>
          <w:ilvl w:val="0"/>
          <w:numId w:val="4"/>
        </w:numPr>
        <w:spacing w:line="360" w:lineRule="auto"/>
        <w:ind w:left="567"/>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供应商安排</w:t>
      </w:r>
      <w:r>
        <w:rPr>
          <w:rFonts w:ascii="仿宋" w:hAnsi="仿宋" w:eastAsia="仿宋" w:cs="宋体"/>
          <w:color w:val="000000" w:themeColor="text1"/>
          <w:kern w:val="0"/>
          <w:sz w:val="28"/>
          <w:szCs w:val="28"/>
          <w14:textFill>
            <w14:solidFill>
              <w14:schemeClr w14:val="tx1"/>
            </w14:solidFill>
          </w14:textFill>
        </w:rPr>
        <w:t>专项项目经理进行项目管理</w:t>
      </w:r>
    </w:p>
    <w:p>
      <w:pPr>
        <w:widowControl/>
        <w:numPr>
          <w:ilvl w:val="0"/>
          <w:numId w:val="4"/>
        </w:numPr>
        <w:tabs>
          <w:tab w:val="clear" w:pos="0"/>
        </w:tabs>
        <w:spacing w:line="360" w:lineRule="auto"/>
        <w:ind w:left="567"/>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根据</w:t>
      </w:r>
      <w:r>
        <w:rPr>
          <w:rFonts w:ascii="仿宋" w:hAnsi="仿宋" w:eastAsia="仿宋" w:cs="宋体"/>
          <w:color w:val="000000" w:themeColor="text1"/>
          <w:kern w:val="0"/>
          <w:sz w:val="28"/>
          <w:szCs w:val="28"/>
          <w14:textFill>
            <w14:solidFill>
              <w14:schemeClr w14:val="tx1"/>
            </w14:solidFill>
          </w14:textFill>
        </w:rPr>
        <w:t>技术</w:t>
      </w:r>
      <w:r>
        <w:rPr>
          <w:rFonts w:hint="eastAsia" w:ascii="仿宋" w:hAnsi="仿宋" w:eastAsia="仿宋" w:cs="宋体"/>
          <w:color w:val="000000" w:themeColor="text1"/>
          <w:kern w:val="0"/>
          <w:sz w:val="28"/>
          <w:szCs w:val="28"/>
          <w14:textFill>
            <w14:solidFill>
              <w14:schemeClr w14:val="tx1"/>
            </w14:solidFill>
          </w14:textFill>
        </w:rPr>
        <w:t>要求臭氧杀菌机设备</w:t>
      </w:r>
      <w:r>
        <w:rPr>
          <w:rFonts w:ascii="仿宋" w:hAnsi="仿宋" w:eastAsia="仿宋" w:cs="宋体"/>
          <w:color w:val="000000" w:themeColor="text1"/>
          <w:kern w:val="0"/>
          <w:sz w:val="28"/>
          <w:szCs w:val="28"/>
          <w14:textFill>
            <w14:solidFill>
              <w14:schemeClr w14:val="tx1"/>
            </w14:solidFill>
          </w14:textFill>
        </w:rPr>
        <w:t>以及相对应的备件</w:t>
      </w:r>
    </w:p>
    <w:p>
      <w:pPr>
        <w:widowControl/>
        <w:numPr>
          <w:ilvl w:val="0"/>
          <w:numId w:val="4"/>
        </w:numPr>
        <w:tabs>
          <w:tab w:val="clear" w:pos="0"/>
        </w:tabs>
        <w:spacing w:line="360" w:lineRule="auto"/>
        <w:ind w:left="567"/>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上述设备的运输</w:t>
      </w:r>
      <w:r>
        <w:rPr>
          <w:rFonts w:hint="eastAsia" w:ascii="仿宋" w:hAnsi="仿宋" w:eastAsia="仿宋" w:cs="宋体"/>
          <w:color w:val="000000" w:themeColor="text1"/>
          <w:kern w:val="0"/>
          <w:sz w:val="28"/>
          <w:szCs w:val="28"/>
          <w14:textFill>
            <w14:solidFill>
              <w14:schemeClr w14:val="tx1"/>
            </w14:solidFill>
          </w14:textFill>
        </w:rPr>
        <w:t>、</w:t>
      </w:r>
      <w:r>
        <w:rPr>
          <w:rFonts w:ascii="仿宋" w:hAnsi="仿宋" w:eastAsia="仿宋" w:cs="宋体"/>
          <w:color w:val="000000" w:themeColor="text1"/>
          <w:kern w:val="0"/>
          <w:sz w:val="28"/>
          <w:szCs w:val="28"/>
          <w14:textFill>
            <w14:solidFill>
              <w14:schemeClr w14:val="tx1"/>
            </w14:solidFill>
          </w14:textFill>
        </w:rPr>
        <w:t>装卸</w:t>
      </w:r>
      <w:r>
        <w:rPr>
          <w:rFonts w:hint="eastAsia" w:ascii="仿宋" w:hAnsi="仿宋" w:eastAsia="仿宋" w:cs="宋体"/>
          <w:color w:val="000000" w:themeColor="text1"/>
          <w:kern w:val="0"/>
          <w:sz w:val="28"/>
          <w:szCs w:val="28"/>
          <w14:textFill>
            <w14:solidFill>
              <w14:schemeClr w14:val="tx1"/>
            </w14:solidFill>
          </w14:textFill>
        </w:rPr>
        <w:t>、就位、安装</w:t>
      </w:r>
    </w:p>
    <w:p>
      <w:pPr>
        <w:widowControl/>
        <w:numPr>
          <w:ilvl w:val="0"/>
          <w:numId w:val="4"/>
        </w:numPr>
        <w:tabs>
          <w:tab w:val="clear" w:pos="0"/>
        </w:tabs>
        <w:spacing w:line="360" w:lineRule="auto"/>
        <w:ind w:left="567"/>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调试和运行</w:t>
      </w:r>
      <w:r>
        <w:rPr>
          <w:rFonts w:ascii="仿宋" w:hAnsi="仿宋" w:eastAsia="仿宋" w:cs="宋体"/>
          <w:color w:val="000000" w:themeColor="text1"/>
          <w:kern w:val="0"/>
          <w:sz w:val="28"/>
          <w:szCs w:val="28"/>
          <w14:textFill>
            <w14:solidFill>
              <w14:schemeClr w14:val="tx1"/>
            </w14:solidFill>
          </w14:textFill>
        </w:rPr>
        <w:t>上述设备</w:t>
      </w:r>
    </w:p>
    <w:p>
      <w:pPr>
        <w:widowControl/>
        <w:numPr>
          <w:ilvl w:val="0"/>
          <w:numId w:val="4"/>
        </w:numPr>
        <w:tabs>
          <w:tab w:val="clear" w:pos="0"/>
        </w:tabs>
        <w:spacing w:line="360" w:lineRule="auto"/>
        <w:ind w:left="567"/>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 xml:space="preserve">对上述设备的操作工和维修工进行培训 </w:t>
      </w:r>
    </w:p>
    <w:p>
      <w:pPr>
        <w:widowControl/>
        <w:numPr>
          <w:ilvl w:val="0"/>
          <w:numId w:val="4"/>
        </w:numPr>
        <w:tabs>
          <w:tab w:val="clear" w:pos="0"/>
        </w:tabs>
        <w:spacing w:line="360" w:lineRule="auto"/>
        <w:ind w:left="567"/>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提供上述设备的技术和操作文件</w:t>
      </w:r>
    </w:p>
    <w:p>
      <w:pPr>
        <w:widowControl/>
        <w:numPr>
          <w:ilvl w:val="0"/>
          <w:numId w:val="4"/>
        </w:numPr>
        <w:tabs>
          <w:tab w:val="clear" w:pos="0"/>
        </w:tabs>
        <w:spacing w:line="360" w:lineRule="auto"/>
        <w:ind w:left="567"/>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项目设计图纸</w:t>
      </w:r>
      <w:r>
        <w:rPr>
          <w:rFonts w:ascii="仿宋" w:hAnsi="仿宋" w:eastAsia="仿宋" w:cs="宋体"/>
          <w:color w:val="000000" w:themeColor="text1"/>
          <w:kern w:val="0"/>
          <w:sz w:val="28"/>
          <w:szCs w:val="28"/>
          <w14:textFill>
            <w14:solidFill>
              <w14:schemeClr w14:val="tx1"/>
            </w14:solidFill>
          </w14:textFill>
        </w:rPr>
        <w:t>、</w:t>
      </w:r>
      <w:r>
        <w:rPr>
          <w:rFonts w:hint="eastAsia" w:ascii="仿宋" w:hAnsi="仿宋" w:eastAsia="仿宋" w:cs="宋体"/>
          <w:color w:val="000000" w:themeColor="text1"/>
          <w:kern w:val="0"/>
          <w:sz w:val="28"/>
          <w:szCs w:val="28"/>
          <w14:textFill>
            <w14:solidFill>
              <w14:schemeClr w14:val="tx1"/>
            </w14:solidFill>
          </w14:textFill>
        </w:rPr>
        <w:t>设备</w:t>
      </w:r>
      <w:r>
        <w:rPr>
          <w:rFonts w:ascii="仿宋" w:hAnsi="仿宋" w:eastAsia="仿宋" w:cs="宋体"/>
          <w:color w:val="000000" w:themeColor="text1"/>
          <w:kern w:val="0"/>
          <w:sz w:val="28"/>
          <w:szCs w:val="28"/>
          <w14:textFill>
            <w14:solidFill>
              <w14:schemeClr w14:val="tx1"/>
            </w14:solidFill>
          </w14:textFill>
        </w:rPr>
        <w:t>手册、</w:t>
      </w:r>
      <w:r>
        <w:rPr>
          <w:rFonts w:hint="eastAsia" w:ascii="仿宋" w:hAnsi="仿宋" w:eastAsia="仿宋" w:cs="宋体"/>
          <w:color w:val="000000" w:themeColor="text1"/>
          <w:kern w:val="0"/>
          <w:sz w:val="28"/>
          <w:szCs w:val="28"/>
          <w14:textFill>
            <w14:solidFill>
              <w14:schemeClr w14:val="tx1"/>
            </w14:solidFill>
          </w14:textFill>
        </w:rPr>
        <w:t>安全</w:t>
      </w:r>
      <w:r>
        <w:rPr>
          <w:rFonts w:ascii="仿宋" w:hAnsi="仿宋" w:eastAsia="仿宋" w:cs="宋体"/>
          <w:color w:val="000000" w:themeColor="text1"/>
          <w:kern w:val="0"/>
          <w:sz w:val="28"/>
          <w:szCs w:val="28"/>
          <w14:textFill>
            <w14:solidFill>
              <w14:schemeClr w14:val="tx1"/>
            </w14:solidFill>
          </w14:textFill>
        </w:rPr>
        <w:t>手册、</w:t>
      </w:r>
      <w:r>
        <w:rPr>
          <w:rFonts w:hint="eastAsia" w:ascii="仿宋" w:hAnsi="仿宋" w:eastAsia="仿宋" w:cs="宋体"/>
          <w:color w:val="000000" w:themeColor="text1"/>
          <w:kern w:val="0"/>
          <w:sz w:val="28"/>
          <w:szCs w:val="28"/>
          <w14:textFill>
            <w14:solidFill>
              <w14:schemeClr w14:val="tx1"/>
            </w14:solidFill>
          </w14:textFill>
        </w:rPr>
        <w:t>能效验收</w:t>
      </w:r>
      <w:r>
        <w:rPr>
          <w:rFonts w:ascii="仿宋" w:hAnsi="仿宋" w:eastAsia="仿宋" w:cs="宋体"/>
          <w:color w:val="000000" w:themeColor="text1"/>
          <w:kern w:val="0"/>
          <w:sz w:val="28"/>
          <w:szCs w:val="28"/>
          <w14:textFill>
            <w14:solidFill>
              <w14:schemeClr w14:val="tx1"/>
            </w14:solidFill>
          </w14:textFill>
        </w:rPr>
        <w:t>证明材料</w:t>
      </w:r>
      <w:r>
        <w:rPr>
          <w:rFonts w:hint="eastAsia" w:ascii="仿宋" w:hAnsi="仿宋" w:eastAsia="仿宋" w:cs="宋体"/>
          <w:color w:val="000000" w:themeColor="text1"/>
          <w:kern w:val="0"/>
          <w:sz w:val="28"/>
          <w:szCs w:val="28"/>
          <w14:textFill>
            <w14:solidFill>
              <w14:schemeClr w14:val="tx1"/>
            </w14:solidFill>
          </w14:textFill>
        </w:rPr>
        <w:t>。</w:t>
      </w:r>
    </w:p>
    <w:p>
      <w:pPr>
        <w:pStyle w:val="21"/>
        <w:numPr>
          <w:ilvl w:val="0"/>
          <w:numId w:val="3"/>
        </w:numPr>
        <w:ind w:firstLineChars="0"/>
        <w:rPr>
          <w:rFonts w:ascii="仿宋" w:hAnsi="仿宋" w:eastAsia="仿宋"/>
          <w:b/>
          <w:sz w:val="32"/>
          <w:szCs w:val="28"/>
        </w:rPr>
      </w:pPr>
      <w:r>
        <w:rPr>
          <w:rFonts w:hint="eastAsia" w:ascii="仿宋" w:hAnsi="仿宋" w:eastAsia="仿宋" w:cs="宋体"/>
          <w:b/>
          <w:color w:val="000000" w:themeColor="text1"/>
          <w:kern w:val="0"/>
          <w:sz w:val="32"/>
          <w:szCs w:val="28"/>
          <w14:textFill>
            <w14:solidFill>
              <w14:schemeClr w14:val="tx1"/>
            </w14:solidFill>
          </w14:textFill>
        </w:rPr>
        <w:t>工艺要求</w:t>
      </w:r>
    </w:p>
    <w:p>
      <w:pPr>
        <w:pStyle w:val="21"/>
        <w:ind w:left="-850" w:leftChars="-405" w:right="-624" w:rightChars="-297" w:firstLine="560"/>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xml:space="preserve">臭氧消毒器由臭氧发生管、高频电源、高压放电室.干式变压器和控制系统五部分组成。臭氧发生管是臭氧消毒器的核心部件，外接电源使用交流电源，经降压整流变成直流电源，供高频电源使用，高频电源对臭氧发生管产生高频电压使臭氧发生管工作，高速运动的电子撞击氧气使之分解成氧原子，通过氧原子、氧分子及高速电子三体碰撞反应成形臭氧气体。 </w:t>
      </w:r>
    </w:p>
    <w:tbl>
      <w:tblPr>
        <w:tblStyle w:val="12"/>
        <w:tblpPr w:leftFromText="180" w:rightFromText="180" w:vertAnchor="text" w:horzAnchor="margin" w:tblpXSpec="center" w:tblpY="-2686"/>
        <w:tblOverlap w:val="neve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6226"/>
        <w:gridCol w:w="1192"/>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889" w:type="dxa"/>
            <w:gridSpan w:val="4"/>
            <w:shd w:val="clear" w:color="auto" w:fill="D0CECE"/>
            <w:vAlign w:val="center"/>
          </w:tcPr>
          <w:p>
            <w:pPr>
              <w:pStyle w:val="2"/>
              <w:numPr>
                <w:ilvl w:val="1"/>
                <w:numId w:val="0"/>
              </w:numPr>
              <w:ind w:left="400"/>
              <w:rPr>
                <w:rFonts w:ascii="Arial" w:hAnsi="Arial" w:eastAsia="宋体" w:cs="Arial"/>
                <w:szCs w:val="21"/>
              </w:rPr>
            </w:pPr>
            <w:bookmarkStart w:id="0" w:name="_Toc31669"/>
            <w:r>
              <w:rPr>
                <w:rFonts w:hint="eastAsia" w:ascii="Arial" w:hAnsi="Arial" w:eastAsia="宋体" w:cs="Arial"/>
                <w:szCs w:val="21"/>
              </w:rPr>
              <w:t>技术要求</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spacing w:before="20" w:after="20"/>
              <w:rPr>
                <w:rFonts w:ascii="Arial" w:hAnsi="Arial" w:cs="Arial"/>
                <w:szCs w:val="21"/>
              </w:rPr>
            </w:pPr>
            <w:r>
              <w:rPr>
                <w:rFonts w:hint="eastAsia" w:ascii="Arial" w:hAnsi="Arial" w:cs="Arial"/>
                <w:szCs w:val="21"/>
              </w:rPr>
              <w:t>臭氧净化能力要求：</w:t>
            </w:r>
          </w:p>
          <w:p>
            <w:pPr>
              <w:spacing w:before="20" w:after="20"/>
              <w:rPr>
                <w:rFonts w:ascii="Arial" w:hAnsi="Arial" w:cs="Arial"/>
                <w:szCs w:val="21"/>
              </w:rPr>
            </w:pPr>
            <w:r>
              <w:rPr>
                <w:rFonts w:hint="eastAsia" w:ascii="Arial" w:hAnsi="Arial" w:cs="Arial"/>
                <w:szCs w:val="21"/>
              </w:rPr>
              <w:t>灭菌体积：40000m³（含风管和风损） 风量：540000 m³/h.</w:t>
            </w:r>
          </w:p>
          <w:p>
            <w:pPr>
              <w:spacing w:before="20" w:after="20"/>
              <w:rPr>
                <w:rFonts w:ascii="Arial" w:hAnsi="Arial" w:cs="Arial"/>
                <w:szCs w:val="21"/>
              </w:rPr>
            </w:pPr>
            <w:r>
              <w:rPr>
                <w:rFonts w:hint="eastAsia" w:ascii="Arial" w:hAnsi="Arial" w:cs="Arial"/>
                <w:szCs w:val="21"/>
              </w:rPr>
              <w:t>消毒时，洁净区消毒范围内的环境及风管内臭氧浓度开机30分钟后为≥10ppm；</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spacing w:before="20" w:after="20"/>
              <w:rPr>
                <w:rFonts w:ascii="Arial" w:hAnsi="Arial" w:cs="Arial"/>
                <w:szCs w:val="21"/>
              </w:rPr>
            </w:pPr>
            <w:r>
              <w:rPr>
                <w:rFonts w:hint="eastAsia" w:ascii="Arial" w:hAnsi="Arial" w:cs="Arial"/>
                <w:szCs w:val="21"/>
              </w:rPr>
              <w:t>臭氧消毒器应能够对各套空调机组负载下的区域空气同时进行消毒。臭氧流量、浓度、时间可设定。</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rPr>
                <w:rFonts w:ascii="Arial" w:hAnsi="Arial" w:cs="Arial"/>
                <w:szCs w:val="21"/>
              </w:rPr>
            </w:pPr>
            <w:r>
              <w:rPr>
                <w:rFonts w:hint="eastAsia" w:ascii="Arial" w:hAnsi="Arial" w:cs="Arial"/>
                <w:szCs w:val="21"/>
              </w:rPr>
              <w:t>臭氧发生器外接气源，甲方提供洁净压缩空气。空气源系统包括贮气装置、油水过滤装置、减压装置等，其功能是向臭氧放电室提供合格的压缩空气。</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rPr>
                <w:rFonts w:ascii="Arial" w:hAnsi="Arial" w:cs="Arial"/>
                <w:szCs w:val="21"/>
              </w:rPr>
            </w:pPr>
            <w:r>
              <w:rPr>
                <w:rFonts w:hint="eastAsia" w:ascii="Arial" w:hAnsi="Arial" w:cs="Arial"/>
                <w:color w:val="FF0000"/>
                <w:szCs w:val="21"/>
              </w:rPr>
              <w:t>臭氧核心放电元件采用钛金放电管（需提供相关证明）, 适合频率</w:t>
            </w:r>
            <w:r>
              <w:rPr>
                <w:rFonts w:hint="eastAsia" w:ascii="Arial" w:hAnsi="Arial" w:cs="Arial"/>
                <w:szCs w:val="21"/>
              </w:rPr>
              <w:t>400-3000Hz，电压3.7－4.5KV，介电常数ε＝6.19，击穿强度大于9 KV; 放电室设计为单元放电。放电筒304不锈钢材质。</w:t>
            </w:r>
          </w:p>
        </w:tc>
        <w:tc>
          <w:tcPr>
            <w:tcW w:w="1192" w:type="dxa"/>
            <w:vAlign w:val="center"/>
          </w:tcPr>
          <w:p>
            <w:pPr>
              <w:spacing w:before="20" w:after="20" w:line="276" w:lineRule="auto"/>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rPr>
                <w:rFonts w:ascii="Arial" w:hAnsi="Arial" w:cs="Arial"/>
                <w:color w:val="000000"/>
                <w:szCs w:val="21"/>
              </w:rPr>
            </w:pPr>
            <w:r>
              <w:rPr>
                <w:rFonts w:hint="eastAsia" w:ascii="Arial" w:hAnsi="Arial" w:cs="Arial"/>
                <w:color w:val="FF0000"/>
                <w:szCs w:val="21"/>
              </w:rPr>
              <w:t>臭氧放电室立式安装，和设备控制箱独立安装在一个翘台上，便于保养维护。</w:t>
            </w:r>
          </w:p>
        </w:tc>
        <w:tc>
          <w:tcPr>
            <w:tcW w:w="1192" w:type="dxa"/>
            <w:vAlign w:val="center"/>
          </w:tcPr>
          <w:p>
            <w:pPr>
              <w:spacing w:before="20" w:after="20" w:line="276" w:lineRule="auto"/>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spacing w:before="20" w:after="20"/>
              <w:rPr>
                <w:rFonts w:ascii="Arial" w:hAnsi="Arial" w:cs="Arial"/>
                <w:color w:val="000000"/>
                <w:szCs w:val="21"/>
              </w:rPr>
            </w:pPr>
            <w:r>
              <w:rPr>
                <w:rFonts w:hint="eastAsia" w:ascii="Arial" w:hAnsi="Arial" w:cs="Arial"/>
                <w:color w:val="000000"/>
                <w:szCs w:val="21"/>
              </w:rPr>
              <w:t>电源变频器品牌为英威腾。</w:t>
            </w:r>
          </w:p>
        </w:tc>
        <w:tc>
          <w:tcPr>
            <w:tcW w:w="1192" w:type="dxa"/>
            <w:vAlign w:val="center"/>
          </w:tcPr>
          <w:p>
            <w:pPr>
              <w:spacing w:before="20" w:after="20" w:line="276" w:lineRule="auto"/>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spacing w:before="20" w:after="20"/>
              <w:rPr>
                <w:rFonts w:ascii="Arial" w:hAnsi="Arial" w:cs="Arial"/>
                <w:color w:val="FF0000"/>
                <w:szCs w:val="21"/>
              </w:rPr>
            </w:pPr>
            <w:r>
              <w:rPr>
                <w:rFonts w:hint="eastAsia" w:ascii="Arial" w:hAnsi="Arial" w:cs="Arial"/>
                <w:color w:val="FF0000"/>
                <w:szCs w:val="21"/>
              </w:rPr>
              <w:t>变压器采用干式变压器，机器发热部件（温度＞80℃）应有防护和保护措施。</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spacing w:before="20" w:after="20"/>
              <w:rPr>
                <w:rFonts w:ascii="Arial" w:hAnsi="Arial" w:cs="Arial"/>
                <w:szCs w:val="21"/>
              </w:rPr>
            </w:pPr>
            <w:r>
              <w:rPr>
                <w:rFonts w:hint="eastAsia" w:ascii="Arial" w:hAnsi="Arial" w:cs="Arial"/>
                <w:szCs w:val="21"/>
              </w:rPr>
              <w:t>IGBT控制模块启动和软关闭，应有过压、过流、过热保护的最佳工作频率和波形。</w:t>
            </w:r>
          </w:p>
        </w:tc>
        <w:tc>
          <w:tcPr>
            <w:tcW w:w="1192" w:type="dxa"/>
            <w:vAlign w:val="center"/>
          </w:tcPr>
          <w:p>
            <w:pPr>
              <w:spacing w:before="20" w:after="20" w:line="276" w:lineRule="auto"/>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spacing w:before="20" w:after="20"/>
              <w:rPr>
                <w:rFonts w:ascii="Arial" w:hAnsi="Arial" w:cs="Arial"/>
                <w:color w:val="000000"/>
                <w:szCs w:val="21"/>
              </w:rPr>
            </w:pPr>
            <w:r>
              <w:rPr>
                <w:rFonts w:hint="eastAsia" w:ascii="Arial" w:hAnsi="Arial" w:cs="Arial"/>
                <w:color w:val="000000"/>
                <w:szCs w:val="21"/>
              </w:rPr>
              <w:t>配臭氧分流装置，实现一机多带。</w:t>
            </w:r>
          </w:p>
        </w:tc>
        <w:tc>
          <w:tcPr>
            <w:tcW w:w="1192" w:type="dxa"/>
            <w:vAlign w:val="center"/>
          </w:tcPr>
          <w:p>
            <w:pPr>
              <w:spacing w:before="20" w:after="20" w:line="276" w:lineRule="auto"/>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22"/>
              <w:tabs>
                <w:tab w:val="center" w:pos="2268"/>
                <w:tab w:val="right" w:pos="5387"/>
                <w:tab w:val="clear" w:pos="4820"/>
                <w:tab w:val="clear" w:pos="9639"/>
              </w:tabs>
              <w:spacing w:after="0"/>
              <w:rPr>
                <w:rFonts w:ascii="Arial" w:hAnsi="Arial" w:cs="Arial"/>
                <w:b w:val="0"/>
                <w:caps w:val="0"/>
                <w:color w:val="000000"/>
                <w:sz w:val="21"/>
                <w:szCs w:val="21"/>
                <w:lang w:val="en-US"/>
              </w:rPr>
            </w:pPr>
            <w:r>
              <w:rPr>
                <w:rFonts w:hint="eastAsia" w:ascii="Arial" w:hAnsi="Arial" w:cs="Arial"/>
                <w:b w:val="0"/>
                <w:caps w:val="0"/>
                <w:color w:val="000000"/>
                <w:sz w:val="21"/>
                <w:szCs w:val="21"/>
                <w:lang w:val="en-US"/>
              </w:rPr>
              <w:t>设备贴有统一铭牌，中英文注明设备名称、产地、设备序列号、出厂日期、型号、重量及其它重要技术参数。</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22"/>
              <w:tabs>
                <w:tab w:val="center" w:pos="2268"/>
                <w:tab w:val="right" w:pos="5387"/>
                <w:tab w:val="clear" w:pos="4820"/>
                <w:tab w:val="clear" w:pos="9639"/>
              </w:tabs>
              <w:spacing w:after="0"/>
              <w:rPr>
                <w:rFonts w:ascii="Arial" w:hAnsi="Arial" w:cs="Arial"/>
                <w:b w:val="0"/>
                <w:caps w:val="0"/>
                <w:color w:val="000000"/>
                <w:sz w:val="21"/>
                <w:szCs w:val="21"/>
                <w:lang w:val="en-US"/>
              </w:rPr>
            </w:pPr>
            <w:r>
              <w:rPr>
                <w:rFonts w:hint="eastAsia" w:ascii="Arial" w:hAnsi="Arial" w:cs="Arial"/>
                <w:b w:val="0"/>
                <w:caps w:val="0"/>
                <w:color w:val="000000"/>
                <w:sz w:val="21"/>
                <w:szCs w:val="21"/>
                <w:lang w:val="en-US"/>
              </w:rPr>
              <w:t>设备上易对操作人员造成伤害的运动部位应有妥善的防护措施，电气控制柜装有安全锁，设备所有运动部位的设计符合零进入标准。</w:t>
            </w:r>
          </w:p>
        </w:tc>
        <w:tc>
          <w:tcPr>
            <w:tcW w:w="1192" w:type="dxa"/>
            <w:vAlign w:val="center"/>
          </w:tcPr>
          <w:p>
            <w:pPr>
              <w:spacing w:before="20" w:after="20" w:line="276" w:lineRule="auto"/>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ind w:left="11" w:hanging="11"/>
              <w:rPr>
                <w:rFonts w:ascii="Arial" w:hAnsi="Arial" w:cs="Arial"/>
                <w:color w:val="000000"/>
                <w:szCs w:val="21"/>
              </w:rPr>
            </w:pPr>
            <w:r>
              <w:rPr>
                <w:rFonts w:hint="eastAsia" w:ascii="Arial" w:hAnsi="Arial" w:cs="Arial"/>
                <w:color w:val="FF0000"/>
                <w:szCs w:val="21"/>
              </w:rPr>
              <w:t>设备具备本地/远程控制启停切换功能。远程控制设备时有信号反馈。</w:t>
            </w:r>
          </w:p>
        </w:tc>
        <w:tc>
          <w:tcPr>
            <w:tcW w:w="1192" w:type="dxa"/>
            <w:vAlign w:val="center"/>
          </w:tcPr>
          <w:p>
            <w:pPr>
              <w:spacing w:before="20" w:after="20" w:line="276" w:lineRule="auto"/>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rPr>
                <w:rFonts w:ascii="Arial" w:hAnsi="Arial" w:cs="Arial"/>
                <w:color w:val="000000"/>
                <w:szCs w:val="21"/>
              </w:rPr>
            </w:pPr>
            <w:r>
              <w:rPr>
                <w:rFonts w:hint="eastAsia" w:ascii="Arial" w:hAnsi="Arial" w:cs="Arial"/>
                <w:color w:val="000000"/>
                <w:szCs w:val="21"/>
              </w:rPr>
              <w:t>供电后机器不能自动开机，必须本地或远程给定启动信号才能运行。</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ind w:left="11" w:hanging="11"/>
              <w:rPr>
                <w:rFonts w:ascii="Arial" w:hAnsi="Arial" w:cs="Arial"/>
                <w:color w:val="000000"/>
                <w:szCs w:val="21"/>
              </w:rPr>
            </w:pPr>
            <w:r>
              <w:rPr>
                <w:rFonts w:hint="eastAsia" w:ascii="Arial" w:hAnsi="Arial" w:cs="Arial"/>
                <w:color w:val="000000"/>
                <w:szCs w:val="21"/>
              </w:rPr>
              <w:t>电气系统的安全性能应符合相应的国家标准。</w:t>
            </w:r>
          </w:p>
        </w:tc>
        <w:tc>
          <w:tcPr>
            <w:tcW w:w="1192" w:type="dxa"/>
            <w:vAlign w:val="center"/>
          </w:tcPr>
          <w:p>
            <w:pPr>
              <w:spacing w:before="20" w:after="20" w:line="276" w:lineRule="auto"/>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ind w:left="11" w:hanging="11"/>
              <w:rPr>
                <w:rFonts w:ascii="Arial" w:hAnsi="Arial" w:cs="Arial"/>
                <w:color w:val="000000"/>
                <w:szCs w:val="21"/>
              </w:rPr>
            </w:pPr>
            <w:r>
              <w:rPr>
                <w:rFonts w:hint="eastAsia" w:ascii="Arial" w:hAnsi="Arial" w:cs="Arial"/>
                <w:color w:val="000000"/>
                <w:szCs w:val="21"/>
              </w:rPr>
              <w:t>设备设计应有足够的空间，便于对设备进行操作和维修。</w:t>
            </w:r>
          </w:p>
        </w:tc>
        <w:tc>
          <w:tcPr>
            <w:tcW w:w="1192" w:type="dxa"/>
            <w:vAlign w:val="center"/>
          </w:tcPr>
          <w:p>
            <w:pPr>
              <w:spacing w:before="20" w:after="20" w:line="276" w:lineRule="auto"/>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ind w:left="11" w:hanging="11"/>
              <w:rPr>
                <w:rFonts w:ascii="Arial" w:hAnsi="Arial" w:cs="Arial"/>
                <w:color w:val="000000"/>
                <w:szCs w:val="21"/>
              </w:rPr>
            </w:pPr>
            <w:r>
              <w:rPr>
                <w:rFonts w:hint="eastAsia" w:ascii="Arial" w:hAnsi="Arial" w:cs="Arial"/>
                <w:color w:val="000000"/>
                <w:szCs w:val="21"/>
              </w:rPr>
              <w:t>电力要求：</w:t>
            </w:r>
            <w:r>
              <w:rPr>
                <w:rFonts w:hint="eastAsia" w:ascii="Arial" w:hAnsi="Arial" w:cs="Arial"/>
                <w:color w:val="000000"/>
                <w:szCs w:val="21"/>
                <w:lang w:val="zh-CN"/>
              </w:rPr>
              <w:t xml:space="preserve"> 380V，3 相5线制，50 Hz。</w:t>
            </w:r>
          </w:p>
        </w:tc>
        <w:tc>
          <w:tcPr>
            <w:tcW w:w="1192" w:type="dxa"/>
            <w:vAlign w:val="center"/>
          </w:tcPr>
          <w:p>
            <w:pPr>
              <w:spacing w:before="20" w:after="20" w:line="276" w:lineRule="auto"/>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ind w:left="11" w:hanging="11"/>
              <w:rPr>
                <w:rFonts w:ascii="Arial" w:hAnsi="Arial" w:cs="Arial"/>
                <w:color w:val="000000"/>
                <w:szCs w:val="21"/>
              </w:rPr>
            </w:pPr>
            <w:r>
              <w:rPr>
                <w:rFonts w:hint="eastAsia" w:ascii="Arial" w:hAnsi="Arial" w:cs="Arial"/>
                <w:color w:val="000000"/>
                <w:szCs w:val="21"/>
              </w:rPr>
              <w:t>所有线缆均有标号并有连接线路图。</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ind w:left="11" w:hanging="11"/>
              <w:rPr>
                <w:rFonts w:ascii="Arial" w:hAnsi="Arial" w:cs="Arial"/>
                <w:color w:val="000000"/>
                <w:szCs w:val="21"/>
              </w:rPr>
            </w:pPr>
            <w:r>
              <w:rPr>
                <w:rFonts w:hint="eastAsia" w:ascii="Arial" w:hAnsi="Arial" w:cs="Arial"/>
                <w:color w:val="000000"/>
                <w:szCs w:val="21"/>
              </w:rPr>
              <w:t>设备具有接地线和中性线。</w:t>
            </w:r>
          </w:p>
        </w:tc>
        <w:tc>
          <w:tcPr>
            <w:tcW w:w="1192" w:type="dxa"/>
            <w:vAlign w:val="center"/>
          </w:tcPr>
          <w:p>
            <w:pPr>
              <w:spacing w:before="20" w:after="20" w:line="276" w:lineRule="auto"/>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ind w:left="11" w:hanging="11"/>
              <w:rPr>
                <w:rFonts w:ascii="Arial" w:hAnsi="Arial" w:cs="Arial"/>
                <w:color w:val="000000"/>
                <w:szCs w:val="21"/>
              </w:rPr>
            </w:pPr>
            <w:r>
              <w:rPr>
                <w:rFonts w:hint="eastAsia" w:ascii="Arial" w:hAnsi="Arial" w:cs="Arial"/>
                <w:color w:val="000000"/>
                <w:szCs w:val="21"/>
              </w:rPr>
              <w:t>电气系统：按钮开关断路器继电器接触器等选用施耐德品牌。</w:t>
            </w:r>
          </w:p>
        </w:tc>
        <w:tc>
          <w:tcPr>
            <w:tcW w:w="1192" w:type="dxa"/>
            <w:vAlign w:val="center"/>
          </w:tcPr>
          <w:p>
            <w:pPr>
              <w:spacing w:before="20" w:after="20" w:line="276" w:lineRule="auto"/>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ind w:left="11" w:hanging="11"/>
              <w:rPr>
                <w:rFonts w:ascii="Arial" w:hAnsi="Arial" w:cs="Arial"/>
                <w:color w:val="000000"/>
                <w:szCs w:val="21"/>
              </w:rPr>
            </w:pPr>
            <w:r>
              <w:rPr>
                <w:rFonts w:hint="eastAsia" w:ascii="Arial" w:hAnsi="Arial" w:cs="Arial"/>
                <w:color w:val="000000"/>
                <w:szCs w:val="21"/>
                <w:lang w:val="zh-CN"/>
              </w:rPr>
              <w:t>所有的线路敷设美观，符合安全要求。</w:t>
            </w:r>
          </w:p>
        </w:tc>
        <w:tc>
          <w:tcPr>
            <w:tcW w:w="1192" w:type="dxa"/>
            <w:vAlign w:val="center"/>
          </w:tcPr>
          <w:p>
            <w:pPr>
              <w:spacing w:before="20" w:after="20" w:line="276" w:lineRule="auto"/>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ind w:left="11" w:hanging="11"/>
              <w:rPr>
                <w:rFonts w:ascii="Arial" w:hAnsi="Arial" w:cs="Arial"/>
                <w:color w:val="000000"/>
                <w:szCs w:val="21"/>
              </w:rPr>
            </w:pPr>
            <w:r>
              <w:rPr>
                <w:rFonts w:hint="eastAsia" w:ascii="Arial" w:hAnsi="Arial" w:cs="Arial"/>
                <w:color w:val="000000"/>
                <w:szCs w:val="21"/>
              </w:rPr>
              <w:t>所有电缆电线终端应用压线鼻子可靠连接，线头线号标识清晰明确。必须与电气原理图标识一致。</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ind w:left="11" w:hanging="11"/>
              <w:rPr>
                <w:rFonts w:ascii="Arial" w:hAnsi="Arial" w:cs="Arial"/>
                <w:color w:val="000000"/>
                <w:szCs w:val="21"/>
              </w:rPr>
            </w:pPr>
            <w:r>
              <w:rPr>
                <w:rFonts w:hint="eastAsia" w:ascii="Arial" w:hAnsi="Arial" w:cs="Arial"/>
                <w:color w:val="000000"/>
                <w:szCs w:val="21"/>
              </w:rPr>
              <w:t>低压通讯/信号控制线路应与高电压线路分开布线，有防止干扰的技术措施</w:t>
            </w:r>
            <w:r>
              <w:rPr>
                <w:rFonts w:hint="eastAsia" w:ascii="Arial" w:hAnsi="Arial" w:cs="Arial"/>
                <w:color w:val="000000"/>
                <w:szCs w:val="21"/>
                <w:lang w:val="zh-CN"/>
              </w:rPr>
              <w:t>。</w:t>
            </w:r>
          </w:p>
        </w:tc>
        <w:tc>
          <w:tcPr>
            <w:tcW w:w="1192" w:type="dxa"/>
            <w:vAlign w:val="center"/>
          </w:tcPr>
          <w:p>
            <w:pPr>
              <w:spacing w:before="20" w:after="20" w:line="276" w:lineRule="auto"/>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ind w:left="11" w:hanging="11"/>
              <w:rPr>
                <w:rFonts w:ascii="Arial" w:hAnsi="Arial" w:cs="Arial"/>
                <w:color w:val="000000"/>
                <w:szCs w:val="21"/>
              </w:rPr>
            </w:pPr>
            <w:r>
              <w:rPr>
                <w:rFonts w:hint="eastAsia" w:ascii="Arial" w:hAnsi="Arial" w:cs="Arial"/>
                <w:color w:val="000000"/>
                <w:szCs w:val="21"/>
              </w:rPr>
              <w:t>设备外壳采用碳钢板外喷塑处理。</w:t>
            </w:r>
          </w:p>
        </w:tc>
        <w:tc>
          <w:tcPr>
            <w:tcW w:w="1192" w:type="dxa"/>
            <w:vAlign w:val="center"/>
          </w:tcPr>
          <w:p>
            <w:pPr>
              <w:spacing w:before="20" w:after="20" w:line="276" w:lineRule="auto"/>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ind w:left="11" w:hanging="11"/>
              <w:rPr>
                <w:rFonts w:ascii="Arial" w:hAnsi="Arial" w:cs="Arial"/>
                <w:color w:val="000000"/>
                <w:szCs w:val="21"/>
              </w:rPr>
            </w:pPr>
            <w:r>
              <w:rPr>
                <w:rFonts w:hint="eastAsia" w:ascii="Arial" w:hAnsi="Arial" w:cs="Arial"/>
                <w:color w:val="000000"/>
                <w:szCs w:val="21"/>
              </w:rPr>
              <w:t>当外部公共能源系统发生故障或达到不到要求时，设备不能启动或自动停机。</w:t>
            </w:r>
          </w:p>
        </w:tc>
        <w:tc>
          <w:tcPr>
            <w:tcW w:w="1192" w:type="dxa"/>
            <w:vAlign w:val="center"/>
          </w:tcPr>
          <w:p>
            <w:pPr>
              <w:spacing w:before="20" w:after="20" w:line="276" w:lineRule="auto"/>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ind w:left="11" w:hanging="11"/>
              <w:rPr>
                <w:rFonts w:ascii="Arial" w:hAnsi="Arial" w:cs="Arial"/>
                <w:color w:val="000000"/>
                <w:szCs w:val="21"/>
              </w:rPr>
            </w:pPr>
            <w:r>
              <w:rPr>
                <w:rFonts w:hint="eastAsia" w:ascii="Arial" w:hAnsi="Arial" w:cs="Arial"/>
                <w:color w:val="000000"/>
                <w:szCs w:val="21"/>
              </w:rPr>
              <w:t>具有液位保护控制，臭氧发生单元内冷却水水位低于臭氧发生器正常液位时，臭氧发生器不启动，电磁阀打开，冷却水自动进水。</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ind w:left="11" w:hanging="11"/>
              <w:rPr>
                <w:rFonts w:ascii="Arial" w:hAnsi="Arial" w:cs="Arial"/>
                <w:color w:val="000000"/>
                <w:szCs w:val="21"/>
              </w:rPr>
            </w:pPr>
            <w:r>
              <w:rPr>
                <w:rFonts w:hint="eastAsia" w:ascii="Arial" w:hAnsi="Arial" w:cs="Arial"/>
                <w:color w:val="000000"/>
                <w:szCs w:val="21"/>
              </w:rPr>
              <w:t>具有温度保护控制，具有温度调节仪设定冷却水的上、下限，保证臭氧发生器恒温工作和超过上限设定值自动停机保护。</w:t>
            </w:r>
          </w:p>
        </w:tc>
        <w:tc>
          <w:tcPr>
            <w:tcW w:w="1192" w:type="dxa"/>
            <w:vAlign w:val="center"/>
          </w:tcPr>
          <w:p>
            <w:pPr>
              <w:spacing w:before="20" w:after="20" w:line="276" w:lineRule="auto"/>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ind w:left="11" w:hanging="11"/>
              <w:rPr>
                <w:rFonts w:ascii="Arial" w:hAnsi="Arial" w:cs="Arial"/>
                <w:color w:val="000000"/>
                <w:szCs w:val="21"/>
              </w:rPr>
            </w:pPr>
            <w:r>
              <w:rPr>
                <w:rFonts w:hint="eastAsia" w:ascii="Arial" w:hAnsi="Arial" w:cs="Arial"/>
                <w:color w:val="000000"/>
                <w:szCs w:val="21"/>
              </w:rPr>
              <w:t>压力保护控制，当臭氧发生器单元内压力超过设定值时自动停机保护。</w:t>
            </w:r>
          </w:p>
        </w:tc>
        <w:tc>
          <w:tcPr>
            <w:tcW w:w="1192" w:type="dxa"/>
            <w:vAlign w:val="center"/>
          </w:tcPr>
          <w:p>
            <w:pPr>
              <w:spacing w:before="20" w:after="20" w:line="276" w:lineRule="auto"/>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ind w:left="11" w:hanging="11"/>
              <w:rPr>
                <w:rFonts w:ascii="Arial" w:hAnsi="Arial" w:cs="Arial"/>
                <w:color w:val="000000"/>
                <w:szCs w:val="21"/>
              </w:rPr>
            </w:pPr>
            <w:r>
              <w:rPr>
                <w:rFonts w:hint="eastAsia" w:ascii="Arial" w:hAnsi="Arial" w:cs="Arial"/>
                <w:color w:val="000000"/>
                <w:szCs w:val="21"/>
              </w:rPr>
              <w:t>设备设有急停装置。</w:t>
            </w:r>
          </w:p>
        </w:tc>
        <w:tc>
          <w:tcPr>
            <w:tcW w:w="1192" w:type="dxa"/>
            <w:vAlign w:val="center"/>
          </w:tcPr>
          <w:p>
            <w:pPr>
              <w:spacing w:before="20" w:after="20" w:line="276" w:lineRule="auto"/>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ind w:left="11" w:hanging="11"/>
              <w:rPr>
                <w:rFonts w:ascii="Arial" w:hAnsi="Arial" w:cs="Arial"/>
                <w:color w:val="000000"/>
                <w:szCs w:val="21"/>
              </w:rPr>
            </w:pPr>
            <w:r>
              <w:rPr>
                <w:rFonts w:hint="eastAsia" w:ascii="Arial" w:hAnsi="Arial" w:cs="Arial"/>
                <w:color w:val="000000"/>
                <w:szCs w:val="21"/>
              </w:rPr>
              <w:t>设备具有状态指示灯和故障蜂鸣报警器。</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ind w:left="11" w:hanging="11"/>
              <w:rPr>
                <w:rFonts w:ascii="Arial" w:hAnsi="Arial" w:cs="Arial"/>
                <w:color w:val="000000"/>
                <w:szCs w:val="21"/>
              </w:rPr>
            </w:pPr>
            <w:r>
              <w:rPr>
                <w:rFonts w:hint="eastAsia" w:ascii="Arial" w:hAnsi="Arial" w:cs="Arial"/>
                <w:color w:val="000000"/>
                <w:szCs w:val="21"/>
              </w:rPr>
              <w:t>应提供详细的电器部件生产厂家的清单附在投标书当中。</w:t>
            </w:r>
          </w:p>
        </w:tc>
        <w:tc>
          <w:tcPr>
            <w:tcW w:w="1192" w:type="dxa"/>
            <w:vAlign w:val="center"/>
          </w:tcPr>
          <w:p>
            <w:pPr>
              <w:spacing w:before="20" w:after="20" w:line="276" w:lineRule="auto"/>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ind w:left="11" w:hanging="11"/>
              <w:rPr>
                <w:rFonts w:ascii="Arial" w:hAnsi="Arial" w:cs="Arial"/>
                <w:color w:val="000000"/>
                <w:szCs w:val="21"/>
              </w:rPr>
            </w:pPr>
            <w:r>
              <w:rPr>
                <w:rFonts w:hint="eastAsia" w:ascii="Arial" w:hAnsi="Arial" w:cs="Arial"/>
                <w:color w:val="000000"/>
                <w:szCs w:val="21"/>
              </w:rPr>
              <w:t>设备控制箱与设备之间的联线应有套管保护。</w:t>
            </w:r>
          </w:p>
        </w:tc>
        <w:tc>
          <w:tcPr>
            <w:tcW w:w="1192" w:type="dxa"/>
            <w:vAlign w:val="center"/>
          </w:tcPr>
          <w:p>
            <w:pPr>
              <w:spacing w:before="20" w:after="20" w:line="276" w:lineRule="auto"/>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ind w:left="11" w:hanging="11"/>
              <w:rPr>
                <w:rFonts w:ascii="Arial" w:hAnsi="Arial" w:cs="Arial"/>
                <w:color w:val="000000"/>
                <w:szCs w:val="21"/>
              </w:rPr>
            </w:pPr>
            <w:r>
              <w:rPr>
                <w:rFonts w:hint="eastAsia" w:ascii="Arial" w:hAnsi="Arial" w:cs="Arial"/>
                <w:color w:val="000000"/>
                <w:szCs w:val="21"/>
              </w:rPr>
              <w:t>提供设备所需水电气参数和联接方式，水电气用量。</w:t>
            </w:r>
          </w:p>
        </w:tc>
        <w:tc>
          <w:tcPr>
            <w:tcW w:w="1192" w:type="dxa"/>
            <w:vAlign w:val="center"/>
          </w:tcPr>
          <w:p>
            <w:pPr>
              <w:spacing w:before="20" w:after="20" w:line="276" w:lineRule="auto"/>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ind w:left="11" w:hanging="11"/>
              <w:rPr>
                <w:rFonts w:ascii="Arial" w:hAnsi="Arial" w:cs="Arial"/>
                <w:color w:val="000000"/>
                <w:szCs w:val="21"/>
              </w:rPr>
            </w:pPr>
            <w:r>
              <w:rPr>
                <w:rFonts w:hint="eastAsia" w:ascii="Arial" w:hAnsi="Arial" w:cs="Arial"/>
                <w:color w:val="000000"/>
                <w:szCs w:val="21"/>
              </w:rPr>
              <w:t>设备供应商负责所有技术指导和人员培训，包括：图纸、工艺、操作、设备维护、设备性能及问题解答。</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ind w:left="11" w:hanging="11"/>
              <w:rPr>
                <w:rFonts w:ascii="Arial" w:hAnsi="Arial" w:cs="Arial"/>
                <w:color w:val="000000"/>
                <w:szCs w:val="21"/>
              </w:rPr>
            </w:pPr>
            <w:r>
              <w:rPr>
                <w:rFonts w:hint="eastAsia" w:ascii="Arial" w:hAnsi="Arial" w:cs="Arial"/>
                <w:color w:val="000000"/>
                <w:szCs w:val="21"/>
              </w:rPr>
              <w:t>设备的产量可从10%—100%任意调节。</w:t>
            </w:r>
          </w:p>
        </w:tc>
        <w:tc>
          <w:tcPr>
            <w:tcW w:w="1192" w:type="dxa"/>
            <w:vAlign w:val="center"/>
          </w:tcPr>
          <w:p>
            <w:pPr>
              <w:spacing w:before="20" w:after="20" w:line="276" w:lineRule="auto"/>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ind w:left="11" w:hanging="11"/>
              <w:rPr>
                <w:rFonts w:ascii="Arial" w:hAnsi="Arial" w:cs="Arial"/>
                <w:color w:val="000000"/>
                <w:szCs w:val="21"/>
              </w:rPr>
            </w:pPr>
            <w:r>
              <w:rPr>
                <w:rFonts w:hint="eastAsia" w:ascii="Arial" w:hAnsi="Arial" w:cs="Arial"/>
                <w:color w:val="000000"/>
                <w:szCs w:val="21"/>
              </w:rPr>
              <w:t>设备润滑装置结构及密封部件结构合理，应保证润滑油不会对产品造成污染。</w:t>
            </w:r>
          </w:p>
        </w:tc>
        <w:tc>
          <w:tcPr>
            <w:tcW w:w="1192" w:type="dxa"/>
            <w:vAlign w:val="center"/>
          </w:tcPr>
          <w:p>
            <w:pPr>
              <w:spacing w:before="20" w:after="20" w:line="276" w:lineRule="auto"/>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tcPr>
          <w:p>
            <w:pPr>
              <w:ind w:left="11" w:hanging="11"/>
              <w:rPr>
                <w:rFonts w:ascii="Arial" w:hAnsi="Arial" w:cs="Arial"/>
                <w:color w:val="000000"/>
                <w:szCs w:val="21"/>
              </w:rPr>
            </w:pPr>
            <w:r>
              <w:rPr>
                <w:rFonts w:hint="eastAsia" w:ascii="Arial" w:hAnsi="Arial" w:cs="Arial"/>
                <w:color w:val="000000"/>
                <w:szCs w:val="21"/>
              </w:rPr>
              <w:t>设备表面平整光滑、内部便于清洁无死角，以提高设备的可清洁性。</w:t>
            </w:r>
          </w:p>
        </w:tc>
        <w:tc>
          <w:tcPr>
            <w:tcW w:w="1192" w:type="dxa"/>
            <w:vAlign w:val="center"/>
          </w:tcPr>
          <w:p>
            <w:pPr>
              <w:spacing w:before="20" w:after="20" w:line="276" w:lineRule="auto"/>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tcPr>
          <w:p>
            <w:pPr>
              <w:ind w:left="11" w:hanging="11"/>
              <w:rPr>
                <w:rFonts w:ascii="Arial" w:hAnsi="Arial" w:cs="Arial"/>
                <w:color w:val="000000"/>
                <w:szCs w:val="21"/>
              </w:rPr>
            </w:pPr>
            <w:r>
              <w:rPr>
                <w:rFonts w:hint="eastAsia" w:ascii="Arial" w:hAnsi="Arial" w:cs="Arial"/>
                <w:color w:val="000000"/>
                <w:szCs w:val="21"/>
              </w:rPr>
              <w:t>对于需要清洁的部件如管道，须提供快卡联接方式。</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tcPr>
          <w:p>
            <w:pPr>
              <w:ind w:left="11" w:hanging="11"/>
              <w:rPr>
                <w:rFonts w:ascii="Arial" w:hAnsi="Arial" w:cs="Arial"/>
                <w:color w:val="000000"/>
                <w:szCs w:val="21"/>
              </w:rPr>
            </w:pPr>
            <w:r>
              <w:rPr>
                <w:rFonts w:hint="eastAsia" w:ascii="Arial" w:hAnsi="Arial" w:cs="Arial"/>
                <w:color w:val="000000"/>
                <w:szCs w:val="21"/>
              </w:rPr>
              <w:t>所有的密封垫圈应便于安装和更换。</w:t>
            </w:r>
          </w:p>
        </w:tc>
        <w:tc>
          <w:tcPr>
            <w:tcW w:w="1192" w:type="dxa"/>
            <w:vAlign w:val="center"/>
          </w:tcPr>
          <w:p>
            <w:pPr>
              <w:spacing w:before="20" w:after="20" w:line="276" w:lineRule="auto"/>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tcPr>
          <w:p>
            <w:pPr>
              <w:ind w:left="11" w:hanging="11"/>
              <w:rPr>
                <w:rFonts w:ascii="Arial" w:hAnsi="Arial" w:cs="Arial"/>
                <w:color w:val="000000"/>
                <w:szCs w:val="21"/>
              </w:rPr>
            </w:pPr>
            <w:r>
              <w:rPr>
                <w:rFonts w:hint="eastAsia" w:ascii="Arial" w:hAnsi="Arial" w:cs="Arial"/>
                <w:color w:val="000000"/>
                <w:szCs w:val="21"/>
              </w:rPr>
              <w:t>裸露于设备外表的螺栓、螺母都须戴帽或加盖。机器的设计及制造应按照和国家有关标准及规范进行。</w:t>
            </w:r>
          </w:p>
        </w:tc>
        <w:tc>
          <w:tcPr>
            <w:tcW w:w="1192" w:type="dxa"/>
            <w:vAlign w:val="center"/>
          </w:tcPr>
          <w:p>
            <w:pPr>
              <w:spacing w:before="20" w:after="20" w:line="276" w:lineRule="auto"/>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ind w:left="11" w:hanging="11"/>
              <w:rPr>
                <w:rFonts w:ascii="Arial" w:hAnsi="Arial" w:cs="Arial"/>
                <w:color w:val="000000"/>
                <w:szCs w:val="21"/>
              </w:rPr>
            </w:pPr>
            <w:r>
              <w:rPr>
                <w:rFonts w:hint="eastAsia" w:ascii="Arial" w:hAnsi="Arial" w:cs="Arial"/>
                <w:color w:val="000000"/>
                <w:szCs w:val="21"/>
              </w:rPr>
              <w:t>设备任何部位不能有锋利的边缘和尖角，无毛刺。</w:t>
            </w:r>
          </w:p>
        </w:tc>
        <w:tc>
          <w:tcPr>
            <w:tcW w:w="1192" w:type="dxa"/>
            <w:vAlign w:val="center"/>
          </w:tcPr>
          <w:p>
            <w:pPr>
              <w:spacing w:before="20" w:after="20" w:line="276" w:lineRule="auto"/>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ind w:left="11" w:hanging="11"/>
              <w:rPr>
                <w:rFonts w:ascii="Arial" w:hAnsi="Arial" w:cs="Arial"/>
                <w:color w:val="000000"/>
                <w:szCs w:val="21"/>
              </w:rPr>
            </w:pPr>
            <w:r>
              <w:rPr>
                <w:rFonts w:hint="eastAsia" w:ascii="Arial" w:hAnsi="Arial" w:cs="Arial"/>
                <w:color w:val="000000"/>
                <w:szCs w:val="21"/>
              </w:rPr>
              <w:t>优化设计，易于接近的区域安装紧急停止按钮，以减少人机工程伤害。</w:t>
            </w:r>
          </w:p>
        </w:tc>
        <w:tc>
          <w:tcPr>
            <w:tcW w:w="1192" w:type="dxa"/>
            <w:vAlign w:val="center"/>
          </w:tcPr>
          <w:p>
            <w:pPr>
              <w:spacing w:before="20" w:after="20" w:line="276" w:lineRule="auto"/>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889" w:type="dxa"/>
            <w:gridSpan w:val="4"/>
            <w:shd w:val="clear" w:color="auto" w:fill="D7D7D7"/>
            <w:vAlign w:val="center"/>
          </w:tcPr>
          <w:p>
            <w:pPr>
              <w:pStyle w:val="2"/>
              <w:numPr>
                <w:ilvl w:val="1"/>
                <w:numId w:val="0"/>
              </w:numPr>
              <w:ind w:left="400"/>
              <w:rPr>
                <w:rFonts w:ascii="Arial" w:hAnsi="Arial" w:eastAsia="宋体" w:cs="Arial"/>
                <w:szCs w:val="21"/>
              </w:rPr>
            </w:pPr>
            <w:bookmarkStart w:id="1" w:name="_Toc13836"/>
            <w:r>
              <w:rPr>
                <w:rFonts w:hint="eastAsia" w:ascii="Arial" w:hAnsi="Arial" w:eastAsia="宋体" w:cs="Arial"/>
                <w:szCs w:val="21"/>
              </w:rPr>
              <w:t>清洁要求</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adjustRightInd w:val="0"/>
              <w:snapToGrid w:val="0"/>
              <w:rPr>
                <w:rFonts w:ascii="Arial" w:hAnsi="Arial" w:cs="Arial"/>
                <w:color w:val="000000"/>
                <w:szCs w:val="21"/>
              </w:rPr>
            </w:pPr>
            <w:r>
              <w:rPr>
                <w:rFonts w:hint="eastAsia" w:ascii="Arial" w:hAnsi="Arial" w:cs="Arial"/>
                <w:color w:val="000000"/>
                <w:szCs w:val="21"/>
                <w:lang w:val="en-GB"/>
              </w:rPr>
              <w:t>需要拆卸清洗的设备部件要便于拆卸清洁和安装。</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adjustRightInd w:val="0"/>
              <w:snapToGrid w:val="0"/>
              <w:rPr>
                <w:rFonts w:ascii="Arial" w:hAnsi="Arial" w:cs="Arial"/>
                <w:color w:val="000000"/>
                <w:szCs w:val="21"/>
              </w:rPr>
            </w:pPr>
            <w:r>
              <w:rPr>
                <w:rFonts w:hint="eastAsia" w:ascii="Arial" w:hAnsi="Arial" w:cs="Arial"/>
                <w:color w:val="000000"/>
                <w:szCs w:val="21"/>
                <w:lang w:val="en-GB"/>
              </w:rPr>
              <w:t>设备内部不能有死角，以保证操作工可以目检设备的所有部位。所有提供的防漏垫圈要便于更换和重新安装。</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adjustRightInd w:val="0"/>
              <w:snapToGrid w:val="0"/>
              <w:rPr>
                <w:rFonts w:ascii="Arial" w:hAnsi="Arial" w:cs="Arial"/>
                <w:color w:val="000000"/>
                <w:szCs w:val="21"/>
              </w:rPr>
            </w:pPr>
            <w:r>
              <w:rPr>
                <w:rFonts w:hint="eastAsia" w:ascii="Arial" w:hAnsi="Arial" w:cs="Arial"/>
                <w:color w:val="000000"/>
                <w:szCs w:val="21"/>
                <w:lang w:val="en-GB"/>
              </w:rPr>
              <w:t>设备的设计要注意容器内呈圆弧连接，满焊处抛光，保证容易清洁。</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adjustRightInd w:val="0"/>
              <w:snapToGrid w:val="0"/>
              <w:rPr>
                <w:rFonts w:ascii="Arial" w:hAnsi="Arial" w:cs="Arial"/>
                <w:color w:val="000000"/>
                <w:szCs w:val="21"/>
              </w:rPr>
            </w:pPr>
            <w:r>
              <w:rPr>
                <w:rFonts w:hint="eastAsia" w:ascii="Arial" w:hAnsi="Arial" w:cs="Arial"/>
                <w:color w:val="000000"/>
                <w:szCs w:val="21"/>
                <w:lang w:val="en-GB"/>
              </w:rPr>
              <w:t>所有设备外部部件的螺栓，螺母都要有盖头或螺帽，压缩空气: 0.4-0.7mpa 干燥、无油; 0.22µm过滤,确保气体品质符合要求。纯化水：0.1-0.3Mpa</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adjustRightInd w:val="0"/>
              <w:snapToGrid w:val="0"/>
              <w:rPr>
                <w:rFonts w:ascii="Arial" w:hAnsi="Arial" w:cs="Arial"/>
                <w:color w:val="000000"/>
                <w:szCs w:val="21"/>
              </w:rPr>
            </w:pPr>
            <w:r>
              <w:rPr>
                <w:rFonts w:hint="eastAsia" w:ascii="Arial" w:hAnsi="Arial" w:cs="Arial"/>
                <w:color w:val="000000"/>
                <w:szCs w:val="21"/>
                <w:lang w:val="en-GB"/>
              </w:rPr>
              <w:t>需要需方提供的设施，供应商应在投标文件中说明；提供设备电缆（珠江电缆实业有限公司）合格证及辅助管线安装技术文件。</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lang w:val="en-GB"/>
              </w:rPr>
            </w:pPr>
            <w:r>
              <w:rPr>
                <w:rFonts w:ascii="Arial" w:hAnsi="Arial" w:cs="Arial"/>
                <w:sz w:val="21"/>
                <w:szCs w:val="21"/>
              </w:rPr>
              <w:t>设备的外露电缆或辅助管线应配备</w:t>
            </w:r>
            <w:r>
              <w:rPr>
                <w:rFonts w:hint="eastAsia" w:ascii="Arial" w:hAnsi="Arial" w:cs="Arial"/>
                <w:sz w:val="21"/>
                <w:szCs w:val="21"/>
              </w:rPr>
              <w:t>不锈钢</w:t>
            </w:r>
            <w:r>
              <w:rPr>
                <w:rFonts w:ascii="Arial" w:hAnsi="Arial" w:cs="Arial"/>
                <w:sz w:val="21"/>
                <w:szCs w:val="21"/>
              </w:rPr>
              <w:t>套管</w:t>
            </w:r>
            <w:r>
              <w:rPr>
                <w:rFonts w:hint="eastAsia" w:ascii="Arial" w:hAnsi="Arial" w:cs="Arial"/>
                <w:sz w:val="21"/>
                <w:szCs w:val="21"/>
              </w:rPr>
              <w:t>。</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lang w:val="en-GB"/>
              </w:rPr>
            </w:pPr>
            <w:r>
              <w:rPr>
                <w:rFonts w:ascii="Arial" w:hAnsi="Arial" w:cs="Arial"/>
                <w:sz w:val="21"/>
                <w:szCs w:val="21"/>
              </w:rPr>
              <w:t>设备清洗结构合理，清洗介质易于排放。</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lang w:val="en-GB"/>
              </w:rPr>
            </w:pPr>
            <w:r>
              <w:rPr>
                <w:rFonts w:ascii="Arial" w:hAnsi="Arial" w:cs="Arial"/>
                <w:sz w:val="21"/>
                <w:szCs w:val="21"/>
              </w:rPr>
              <w:t>机器上所有材料必须符合GMP规范并能接受清洁剂清洗。</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lang w:val="en-GB"/>
              </w:rPr>
            </w:pPr>
            <w:r>
              <w:rPr>
                <w:rFonts w:ascii="Arial" w:hAnsi="Arial" w:cs="Arial"/>
                <w:sz w:val="21"/>
                <w:szCs w:val="21"/>
              </w:rPr>
              <w:t>所提供的设备、附件和连接管线的材质和结构设计，须确保易拆装、易清洁。暴露的表面必须光滑，无裂纹，以便清洗。</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889" w:type="dxa"/>
            <w:gridSpan w:val="4"/>
            <w:shd w:val="clear" w:color="auto" w:fill="BEBEBE"/>
            <w:vAlign w:val="center"/>
          </w:tcPr>
          <w:p>
            <w:pPr>
              <w:pStyle w:val="2"/>
              <w:numPr>
                <w:ilvl w:val="1"/>
                <w:numId w:val="0"/>
              </w:numPr>
              <w:ind w:left="400"/>
              <w:rPr>
                <w:rFonts w:ascii="Arial" w:hAnsi="Arial" w:eastAsia="宋体" w:cs="Arial"/>
                <w:szCs w:val="21"/>
              </w:rPr>
            </w:pPr>
            <w:bookmarkStart w:id="2" w:name="_Toc1853"/>
            <w:r>
              <w:rPr>
                <w:rFonts w:hint="eastAsia" w:ascii="Arial" w:hAnsi="Arial" w:eastAsia="宋体" w:cs="Arial"/>
                <w:szCs w:val="21"/>
              </w:rPr>
              <w:t>电气要求</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lang w:val="en-GB"/>
              </w:rPr>
            </w:pPr>
            <w:r>
              <w:rPr>
                <w:rFonts w:ascii="Arial" w:hAnsi="Arial" w:cs="Arial"/>
                <w:sz w:val="21"/>
                <w:szCs w:val="21"/>
              </w:rPr>
              <w:t>AC380/220V（±10%），三相五线制，50Hz。</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lang w:val="en-GB"/>
              </w:rPr>
            </w:pPr>
            <w:r>
              <w:rPr>
                <w:rFonts w:ascii="Arial" w:hAnsi="Arial" w:cs="Arial"/>
                <w:sz w:val="21"/>
                <w:szCs w:val="21"/>
              </w:rPr>
              <w:t>所有控制配线采用低电压控制系统，电压≤36V。低压接线（通讯/信号线路）与较高的电压隔离开处理，并且采用屏蔽电缆。</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lang w:val="en-GB"/>
              </w:rPr>
            </w:pPr>
            <w:r>
              <w:rPr>
                <w:rFonts w:ascii="Arial" w:hAnsi="Arial" w:cs="Arial"/>
                <w:sz w:val="21"/>
                <w:szCs w:val="21"/>
              </w:rPr>
              <w:t>所有电线根据计数文件在每一端通过数字、字母等进行标识。每根导线应在所有端点和连接点采用相同的标识。线路标识打印在防油、防潮的收缩标签上。</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lang w:val="en-GB"/>
              </w:rPr>
            </w:pPr>
            <w:r>
              <w:rPr>
                <w:rFonts w:ascii="Arial" w:hAnsi="Arial" w:cs="Arial"/>
                <w:sz w:val="21"/>
                <w:szCs w:val="21"/>
              </w:rPr>
              <w:t>所有电缆终端应卷曲包好线头做好相应线号并标记清楚；标示必须经久耐用，不易污损；弱电部分和强电部分应分开，以避免强电部分对弱电部分造成干扰。</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lang w:val="en-GB"/>
              </w:rPr>
            </w:pPr>
            <w:r>
              <w:rPr>
                <w:rFonts w:ascii="Arial" w:hAnsi="Arial" w:cs="Arial"/>
                <w:sz w:val="21"/>
                <w:szCs w:val="21"/>
              </w:rPr>
              <w:t>导线的规格应根据应用情况和载流量表决定。所有的导线应为退火铜绞线，不允许采用铝导线。</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lang w:val="en-GB"/>
              </w:rPr>
            </w:pPr>
            <w:r>
              <w:rPr>
                <w:rFonts w:ascii="Arial" w:hAnsi="Arial" w:cs="Arial"/>
                <w:sz w:val="21"/>
                <w:szCs w:val="21"/>
              </w:rPr>
              <w:t>采用独立电气柜，即电气控制系统与设备分开，最大程度上减少热湿设备对电气控制系统影响。控制柜的所有仪表必须安装在易于观察的位置。</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lang w:val="en-GB"/>
              </w:rPr>
            </w:pPr>
            <w:r>
              <w:rPr>
                <w:rFonts w:ascii="Arial" w:hAnsi="Arial" w:cs="Arial"/>
                <w:sz w:val="21"/>
                <w:szCs w:val="21"/>
              </w:rPr>
              <w:t>电气柜应有防尘、防湿、排热措施。电气柜所有金属部位应该正确接地。</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lang w:val="en-GB"/>
              </w:rPr>
            </w:pPr>
            <w:r>
              <w:rPr>
                <w:rFonts w:ascii="Arial" w:hAnsi="Arial" w:cs="Arial"/>
                <w:sz w:val="21"/>
                <w:szCs w:val="21"/>
              </w:rPr>
              <w:t>电器柜面板设有双插座或单插座电源插座，分别通过保险丝控制，最低熔断电流为3A，并粘贴有适当的标签。</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lang w:val="en-GB"/>
              </w:rPr>
            </w:pPr>
            <w:r>
              <w:rPr>
                <w:rFonts w:ascii="Arial" w:hAnsi="Arial" w:cs="Arial"/>
                <w:sz w:val="21"/>
                <w:szCs w:val="21"/>
              </w:rPr>
              <w:t>端子块和部件采用DIN导轨安装到罩体的背板上。</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应提供具体的如下终端块组：</w:t>
            </w:r>
          </w:p>
          <w:p>
            <w:pPr>
              <w:pStyle w:val="9"/>
              <w:numPr>
                <w:ilvl w:val="0"/>
                <w:numId w:val="6"/>
              </w:numPr>
              <w:tabs>
                <w:tab w:val="center" w:pos="240"/>
                <w:tab w:val="center" w:pos="480"/>
                <w:tab w:val="center" w:pos="720"/>
              </w:tabs>
              <w:spacing w:before="20" w:after="20"/>
              <w:ind w:left="0" w:firstLine="0"/>
              <w:jc w:val="both"/>
              <w:rPr>
                <w:rFonts w:ascii="Arial" w:hAnsi="Arial" w:cs="Arial"/>
                <w:sz w:val="21"/>
                <w:szCs w:val="21"/>
              </w:rPr>
            </w:pPr>
            <w:r>
              <w:rPr>
                <w:rFonts w:ascii="Arial" w:hAnsi="Arial" w:cs="Arial"/>
                <w:sz w:val="21"/>
                <w:szCs w:val="21"/>
              </w:rPr>
              <w:t>交流配电（380V/220V配电）</w:t>
            </w:r>
          </w:p>
          <w:p>
            <w:pPr>
              <w:pStyle w:val="9"/>
              <w:numPr>
                <w:ilvl w:val="0"/>
                <w:numId w:val="6"/>
              </w:numPr>
              <w:tabs>
                <w:tab w:val="center" w:pos="240"/>
                <w:tab w:val="center" w:pos="480"/>
                <w:tab w:val="center" w:pos="720"/>
              </w:tabs>
              <w:spacing w:before="20" w:after="20"/>
              <w:ind w:left="0" w:firstLine="0"/>
              <w:jc w:val="both"/>
              <w:rPr>
                <w:rFonts w:ascii="Arial" w:hAnsi="Arial" w:cs="Arial"/>
                <w:sz w:val="21"/>
                <w:szCs w:val="21"/>
              </w:rPr>
            </w:pPr>
            <w:r>
              <w:rPr>
                <w:rFonts w:ascii="Arial" w:hAnsi="Arial" w:cs="Arial"/>
                <w:sz w:val="21"/>
                <w:szCs w:val="21"/>
              </w:rPr>
              <w:t>直流配电</w:t>
            </w:r>
          </w:p>
          <w:p>
            <w:pPr>
              <w:pStyle w:val="9"/>
              <w:numPr>
                <w:ilvl w:val="0"/>
                <w:numId w:val="6"/>
              </w:numPr>
              <w:tabs>
                <w:tab w:val="center" w:pos="240"/>
                <w:tab w:val="center" w:pos="480"/>
                <w:tab w:val="center" w:pos="720"/>
              </w:tabs>
              <w:spacing w:before="20" w:after="20"/>
              <w:ind w:left="0" w:firstLine="0"/>
              <w:jc w:val="both"/>
              <w:rPr>
                <w:rFonts w:ascii="Arial" w:hAnsi="Arial" w:cs="Arial"/>
                <w:sz w:val="21"/>
                <w:szCs w:val="21"/>
              </w:rPr>
            </w:pPr>
            <w:r>
              <w:rPr>
                <w:rFonts w:ascii="Arial" w:hAnsi="Arial" w:cs="Arial"/>
                <w:sz w:val="21"/>
                <w:szCs w:val="21"/>
              </w:rPr>
              <w:t>数字I/O模块（每个模块一个组块）</w:t>
            </w:r>
          </w:p>
          <w:p>
            <w:pPr>
              <w:pStyle w:val="9"/>
              <w:numPr>
                <w:ilvl w:val="0"/>
                <w:numId w:val="6"/>
              </w:numPr>
              <w:tabs>
                <w:tab w:val="center" w:pos="240"/>
                <w:tab w:val="center" w:pos="480"/>
                <w:tab w:val="center" w:pos="720"/>
              </w:tabs>
              <w:spacing w:before="20" w:after="20"/>
              <w:ind w:left="0" w:firstLine="0"/>
              <w:jc w:val="both"/>
              <w:rPr>
                <w:rFonts w:ascii="Arial" w:hAnsi="Arial" w:cs="Arial"/>
                <w:sz w:val="21"/>
                <w:szCs w:val="21"/>
                <w:lang w:val="en-GB"/>
              </w:rPr>
            </w:pPr>
            <w:r>
              <w:rPr>
                <w:rFonts w:ascii="Arial" w:hAnsi="Arial" w:cs="Arial"/>
                <w:sz w:val="21"/>
                <w:szCs w:val="21"/>
              </w:rPr>
              <w:t>模拟I/O模块（每个模块一个组块）</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lang w:val="en-GB"/>
              </w:rPr>
            </w:pPr>
            <w:r>
              <w:rPr>
                <w:rFonts w:ascii="Arial" w:hAnsi="Arial" w:cs="Arial"/>
                <w:sz w:val="21"/>
                <w:szCs w:val="21"/>
              </w:rPr>
              <w:t>使用模拟装置的面板应具有独立的接地块与独立的导线连接到主接地点。</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lang w:val="en-GB"/>
              </w:rPr>
            </w:pPr>
            <w:r>
              <w:rPr>
                <w:rFonts w:ascii="Arial" w:hAnsi="Arial" w:cs="Arial"/>
                <w:sz w:val="21"/>
                <w:szCs w:val="21"/>
              </w:rPr>
              <w:t>继电器、电机启动器、触点和螺线管的交流电源连接线路应</w:t>
            </w:r>
            <w:r>
              <w:rPr>
                <w:rFonts w:hint="eastAsia" w:ascii="Arial" w:hAnsi="Arial" w:cs="Arial"/>
                <w:sz w:val="21"/>
                <w:szCs w:val="21"/>
              </w:rPr>
              <w:t>保证工作安全可靠。</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lang w:val="en-GB"/>
              </w:rPr>
            </w:pPr>
            <w:r>
              <w:rPr>
                <w:rFonts w:ascii="Arial" w:hAnsi="Arial" w:cs="Arial"/>
                <w:sz w:val="21"/>
                <w:szCs w:val="21"/>
              </w:rPr>
              <w:t>所有电气连接处外部应有电气警示标识。设备高电压部位应该采取机械保护，防止人员意外接触.</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lang w:val="en-GB"/>
              </w:rPr>
            </w:pPr>
            <w:r>
              <w:rPr>
                <w:rFonts w:ascii="Arial" w:hAnsi="Arial" w:cs="Arial"/>
                <w:sz w:val="21"/>
                <w:szCs w:val="21"/>
              </w:rPr>
              <w:t>主要电气元件应首选Siemens、ABB或同等国际品牌。包括压力传感器，接近开关。现场电机及各执行阀、电磁阀、传感器、显示仪表均采用性能可靠的国际知名品牌，各器件标号清楚，主要电气单元如</w:t>
            </w:r>
            <w:r>
              <w:rPr>
                <w:rFonts w:ascii="Arial" w:hAnsi="Arial" w:cs="Arial"/>
                <w:color w:val="000000"/>
                <w:sz w:val="21"/>
                <w:szCs w:val="21"/>
              </w:rPr>
              <w:t>PLC</w:t>
            </w:r>
            <w:r>
              <w:rPr>
                <w:rFonts w:ascii="Arial" w:hAnsi="Arial" w:cs="Arial"/>
                <w:sz w:val="21"/>
                <w:szCs w:val="21"/>
              </w:rPr>
              <w:t>、变频器、触摸屏等要有详细的操作手册等技术文件。</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889" w:type="dxa"/>
            <w:gridSpan w:val="4"/>
            <w:shd w:val="clear" w:color="auto" w:fill="BEBEBE"/>
            <w:vAlign w:val="center"/>
          </w:tcPr>
          <w:p>
            <w:pPr>
              <w:pStyle w:val="2"/>
              <w:numPr>
                <w:ilvl w:val="1"/>
                <w:numId w:val="0"/>
              </w:numPr>
              <w:ind w:left="400"/>
              <w:rPr>
                <w:rFonts w:ascii="Arial" w:hAnsi="Arial" w:eastAsia="宋体" w:cs="Arial"/>
                <w:szCs w:val="21"/>
              </w:rPr>
            </w:pPr>
            <w:bookmarkStart w:id="3" w:name="_Toc26045"/>
            <w:r>
              <w:rPr>
                <w:rFonts w:hint="eastAsia" w:ascii="Arial" w:hAnsi="Arial" w:eastAsia="宋体" w:cs="Arial"/>
                <w:szCs w:val="21"/>
              </w:rPr>
              <w:t>公用系统要求</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lang w:val="en-GB"/>
              </w:rPr>
            </w:pPr>
            <w:r>
              <w:rPr>
                <w:rFonts w:ascii="Arial" w:hAnsi="Arial" w:cs="Arial"/>
                <w:sz w:val="21"/>
                <w:szCs w:val="21"/>
              </w:rPr>
              <w:t>电源：AC380/220V（±10%），三 相五线制，50Hz。</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lang w:val="en-GB"/>
              </w:rPr>
            </w:pPr>
            <w:r>
              <w:rPr>
                <w:rFonts w:ascii="Arial" w:hAnsi="Arial" w:cs="Arial"/>
                <w:sz w:val="21"/>
                <w:szCs w:val="21"/>
              </w:rPr>
              <w:t>压缩空气：6≤P≤7bar。</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lang w:val="en-GB"/>
              </w:rPr>
            </w:pPr>
            <w:r>
              <w:rPr>
                <w:rFonts w:ascii="Arial" w:hAnsi="Arial" w:cs="Arial"/>
                <w:sz w:val="21"/>
                <w:szCs w:val="21"/>
              </w:rPr>
              <w:t>设备接口及工艺连线设备按照标准化设计制作，在工程设计中应处理好接口关系。</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889" w:type="dxa"/>
            <w:gridSpan w:val="4"/>
            <w:shd w:val="clear" w:color="auto" w:fill="BEBEBE"/>
            <w:vAlign w:val="center"/>
          </w:tcPr>
          <w:p>
            <w:pPr>
              <w:pStyle w:val="2"/>
              <w:numPr>
                <w:ilvl w:val="1"/>
                <w:numId w:val="0"/>
              </w:numPr>
              <w:ind w:left="400"/>
              <w:rPr>
                <w:rFonts w:ascii="Arial" w:hAnsi="Arial" w:eastAsia="宋体" w:cs="Arial"/>
                <w:szCs w:val="21"/>
              </w:rPr>
            </w:pPr>
            <w:bookmarkStart w:id="4" w:name="_Toc7161"/>
            <w:r>
              <w:rPr>
                <w:rFonts w:hint="eastAsia" w:ascii="Arial" w:hAnsi="Arial" w:eastAsia="宋体" w:cs="Arial"/>
                <w:szCs w:val="21"/>
              </w:rPr>
              <w:t>仪器仪表要求</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lang w:val="en-GB"/>
              </w:rPr>
            </w:pPr>
            <w:r>
              <w:rPr>
                <w:rFonts w:ascii="Arial" w:hAnsi="Arial" w:cs="Arial"/>
                <w:sz w:val="21"/>
                <w:szCs w:val="21"/>
              </w:rPr>
              <w:t>设备上的测量用仪器仪表（传感器）及设备联接件使用公制单位。仪表、传感器数量与精度必须满足设备操作与安全需要。</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lang w:val="en-GB"/>
              </w:rPr>
            </w:pPr>
            <w:r>
              <w:rPr>
                <w:rFonts w:ascii="Arial" w:hAnsi="Arial" w:cs="Arial"/>
                <w:sz w:val="21"/>
                <w:szCs w:val="21"/>
              </w:rPr>
              <w:t>供应商应提供所有安装在设备上的用于检测和显示参数的仪表的文件和清单，包括型号、供货商、精度、范围，并且配有仪表安装图纸。</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lang w:val="en-GB"/>
              </w:rPr>
            </w:pPr>
            <w:r>
              <w:rPr>
                <w:rFonts w:ascii="Arial" w:hAnsi="Arial" w:cs="Arial"/>
                <w:sz w:val="21"/>
                <w:szCs w:val="21"/>
              </w:rPr>
              <w:t>仪器仪表、传感器应选用进口知名品牌。</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仪器仪表应提供有资质的检验合格证。</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889" w:type="dxa"/>
            <w:gridSpan w:val="4"/>
            <w:shd w:val="clear" w:color="auto" w:fill="BEBEBE"/>
            <w:vAlign w:val="center"/>
          </w:tcPr>
          <w:p>
            <w:pPr>
              <w:pStyle w:val="2"/>
              <w:numPr>
                <w:ilvl w:val="1"/>
                <w:numId w:val="0"/>
              </w:numPr>
              <w:ind w:left="400"/>
              <w:rPr>
                <w:rFonts w:ascii="Arial" w:hAnsi="Arial" w:eastAsia="宋体" w:cs="Arial"/>
                <w:szCs w:val="21"/>
              </w:rPr>
            </w:pPr>
            <w:bookmarkStart w:id="5" w:name="_Toc27710"/>
            <w:r>
              <w:rPr>
                <w:rFonts w:hint="eastAsia" w:ascii="Arial" w:hAnsi="Arial" w:eastAsia="宋体" w:cs="Arial"/>
                <w:szCs w:val="21"/>
              </w:rPr>
              <w:t>标识及编号要求</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lang w:val="en-GB"/>
              </w:rPr>
            </w:pPr>
            <w:r>
              <w:rPr>
                <w:rFonts w:ascii="Arial" w:hAnsi="Arial" w:cs="Arial"/>
                <w:sz w:val="21"/>
                <w:szCs w:val="21"/>
              </w:rPr>
              <w:t>必需对部件、仪器仪表、转换控制面板、管道以及配电柜内的线路等进行适当的标示，且须确保其与图纸的一致性和可追溯性；标示必需经久耐用，不易污损。</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lang w:val="en-GB"/>
              </w:rPr>
            </w:pPr>
            <w:r>
              <w:rPr>
                <w:rFonts w:ascii="Arial" w:hAnsi="Arial" w:cs="Arial"/>
                <w:sz w:val="21"/>
                <w:szCs w:val="21"/>
              </w:rPr>
              <w:t>对主要的零部件、易损件、规格件应在技术文件中编号，以方便备件订购。</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lang w:val="en-GB"/>
              </w:rPr>
            </w:pPr>
            <w:r>
              <w:rPr>
                <w:rFonts w:ascii="Arial" w:hAnsi="Arial" w:cs="Arial"/>
                <w:sz w:val="21"/>
                <w:szCs w:val="21"/>
              </w:rPr>
              <w:t>供应商保证所供货物是用符合要求的材料制成，全新未曾使用过。</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lang w:val="en-GB"/>
              </w:rPr>
            </w:pPr>
            <w:r>
              <w:rPr>
                <w:rFonts w:ascii="Arial" w:hAnsi="Arial" w:cs="Arial"/>
                <w:sz w:val="21"/>
                <w:szCs w:val="21"/>
              </w:rPr>
              <w:t>设备运行综合性能在维修保养周期内，设备在负荷条件下运行平稳，无明显的振动和噪声恶化现象，始终符合出厂验收标准。</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889" w:type="dxa"/>
            <w:gridSpan w:val="4"/>
            <w:shd w:val="clear" w:color="auto" w:fill="BEBEBE"/>
            <w:vAlign w:val="center"/>
          </w:tcPr>
          <w:p>
            <w:pPr>
              <w:pStyle w:val="2"/>
              <w:numPr>
                <w:ilvl w:val="1"/>
                <w:numId w:val="0"/>
              </w:numPr>
              <w:ind w:left="400"/>
              <w:rPr>
                <w:rFonts w:ascii="Arial" w:hAnsi="Arial" w:eastAsia="宋体" w:cs="Arial"/>
                <w:szCs w:val="21"/>
              </w:rPr>
            </w:pPr>
            <w:bookmarkStart w:id="6" w:name="_Toc10735"/>
            <w:r>
              <w:rPr>
                <w:rFonts w:hint="eastAsia" w:ascii="Arial" w:hAnsi="Arial" w:eastAsia="宋体" w:cs="Arial"/>
                <w:szCs w:val="21"/>
              </w:rPr>
              <w:t>EHS环境、健康和安全要求</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lang w:val="en-GB"/>
              </w:rPr>
            </w:pPr>
            <w:r>
              <w:rPr>
                <w:rFonts w:ascii="Arial" w:hAnsi="Arial" w:cs="Arial"/>
                <w:sz w:val="21"/>
                <w:szCs w:val="21"/>
              </w:rPr>
              <w:t>设备的设计、构造等应符合中国、欧盟和美国相关环境、健康和安全法规、规范的要求。</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lang w:val="en-GB"/>
              </w:rPr>
            </w:pPr>
            <w:r>
              <w:rPr>
                <w:rFonts w:ascii="Arial" w:hAnsi="Arial" w:cs="Arial"/>
                <w:sz w:val="21"/>
                <w:szCs w:val="21"/>
              </w:rPr>
              <w:t>设备运转时距离设备操作人员位置（小于1米）的噪音在7</w:t>
            </w:r>
            <w:r>
              <w:rPr>
                <w:rFonts w:hint="eastAsia" w:ascii="Arial" w:hAnsi="Arial" w:cs="Arial"/>
                <w:sz w:val="21"/>
                <w:szCs w:val="21"/>
              </w:rPr>
              <w:t>0</w:t>
            </w:r>
            <w:r>
              <w:rPr>
                <w:rFonts w:ascii="Arial" w:hAnsi="Arial" w:cs="Arial"/>
                <w:sz w:val="21"/>
                <w:szCs w:val="21"/>
              </w:rPr>
              <w:t>dB以下。</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lang w:val="en-GB"/>
              </w:rPr>
            </w:pPr>
            <w:r>
              <w:rPr>
                <w:rFonts w:ascii="Arial" w:hAnsi="Arial" w:cs="Arial"/>
                <w:sz w:val="21"/>
                <w:szCs w:val="21"/>
              </w:rPr>
              <w:t>电源或电控系统故障恢复后，设备重新启动必需由人工操作。</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889" w:type="dxa"/>
            <w:gridSpan w:val="4"/>
            <w:shd w:val="clear" w:color="auto" w:fill="BEBEBE"/>
            <w:vAlign w:val="center"/>
          </w:tcPr>
          <w:p>
            <w:pPr>
              <w:pStyle w:val="2"/>
              <w:numPr>
                <w:ilvl w:val="1"/>
                <w:numId w:val="0"/>
              </w:numPr>
              <w:ind w:left="400"/>
              <w:rPr>
                <w:rFonts w:ascii="Arial" w:hAnsi="Arial" w:eastAsia="宋体" w:cs="Arial"/>
                <w:szCs w:val="21"/>
              </w:rPr>
            </w:pPr>
            <w:bookmarkStart w:id="7" w:name="_Toc3854"/>
            <w:r>
              <w:rPr>
                <w:rFonts w:hint="eastAsia" w:ascii="Arial" w:hAnsi="Arial" w:eastAsia="宋体" w:cs="Arial"/>
                <w:szCs w:val="21"/>
              </w:rPr>
              <w:t>培训要求</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rPr>
            </w:pPr>
            <w:r>
              <w:rPr>
                <w:rFonts w:hint="eastAsia" w:ascii="Arial" w:hAnsi="Arial" w:cs="Arial"/>
                <w:sz w:val="21"/>
                <w:szCs w:val="21"/>
              </w:rPr>
              <w:t>提供专门的培训材料，包括工作原理、设备结构、校准方法、操作方法、注意事项、维护内容、维修内容、故障解决等。</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rPr>
            </w:pPr>
            <w:r>
              <w:rPr>
                <w:rFonts w:hint="eastAsia" w:ascii="Arial" w:hAnsi="Arial" w:cs="Arial"/>
                <w:sz w:val="21"/>
                <w:szCs w:val="21"/>
              </w:rPr>
              <w:t>执行IQ、OQ时，供应商应提供验证培训</w:t>
            </w:r>
            <w:r>
              <w:rPr>
                <w:rFonts w:ascii="Arial" w:hAnsi="Arial" w:cs="Arial"/>
                <w:sz w:val="21"/>
                <w:szCs w:val="21"/>
              </w:rPr>
              <w:t>。</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rPr>
            </w:pPr>
            <w:r>
              <w:rPr>
                <w:rFonts w:hint="eastAsia" w:ascii="Arial" w:hAnsi="Arial" w:cs="Arial"/>
                <w:sz w:val="21"/>
                <w:szCs w:val="21"/>
              </w:rPr>
              <w:t>供应商委派专业工程师进行培训，培训地点设在业主公司厂内。</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spacing w:line="360" w:lineRule="exact"/>
              <w:rPr>
                <w:rFonts w:ascii="Arial" w:hAnsi="Arial" w:cs="Arial"/>
                <w:szCs w:val="21"/>
              </w:rPr>
            </w:pPr>
            <w:r>
              <w:rPr>
                <w:rFonts w:hint="eastAsia" w:ascii="Arial" w:hAnsi="Arial" w:cs="Arial"/>
                <w:szCs w:val="21"/>
              </w:rPr>
              <w:t>通过培训达到如下效果：</w:t>
            </w:r>
          </w:p>
          <w:p>
            <w:pPr>
              <w:spacing w:line="360" w:lineRule="exact"/>
              <w:rPr>
                <w:rFonts w:ascii="Arial" w:hAnsi="Arial" w:cs="Arial"/>
                <w:szCs w:val="21"/>
              </w:rPr>
            </w:pPr>
            <w:r>
              <w:rPr>
                <w:rFonts w:hint="eastAsia" w:ascii="Arial" w:hAnsi="Arial" w:cs="Arial"/>
                <w:szCs w:val="21"/>
              </w:rPr>
              <w:t>1、操作人员能独立操作设备，能进行不少于5次的熟练操作。</w:t>
            </w:r>
          </w:p>
          <w:p>
            <w:pPr>
              <w:spacing w:line="360" w:lineRule="exact"/>
              <w:rPr>
                <w:rFonts w:ascii="Arial" w:hAnsi="Arial" w:cs="Arial"/>
                <w:szCs w:val="21"/>
              </w:rPr>
            </w:pPr>
            <w:r>
              <w:rPr>
                <w:rFonts w:hint="eastAsia" w:ascii="Arial" w:hAnsi="Arial" w:cs="Arial"/>
                <w:szCs w:val="21"/>
              </w:rPr>
              <w:t>2、设备维修人员能对设备的常见故障进行维修。</w:t>
            </w:r>
          </w:p>
          <w:p>
            <w:pPr>
              <w:spacing w:line="360" w:lineRule="exact"/>
              <w:rPr>
                <w:rFonts w:ascii="Arial" w:hAnsi="Arial" w:cs="Arial"/>
                <w:szCs w:val="21"/>
              </w:rPr>
            </w:pPr>
            <w:r>
              <w:rPr>
                <w:rFonts w:hint="eastAsia" w:ascii="Arial" w:hAnsi="Arial" w:cs="Arial"/>
                <w:szCs w:val="21"/>
              </w:rPr>
              <w:t>3、操作人员和维修人员能按照要求的设备维护方法对设备进行分级维护。</w:t>
            </w:r>
          </w:p>
          <w:p>
            <w:pPr>
              <w:pStyle w:val="9"/>
              <w:tabs>
                <w:tab w:val="center" w:pos="4320"/>
                <w:tab w:val="right" w:pos="8640"/>
                <w:tab w:val="clear" w:pos="4153"/>
                <w:tab w:val="clear" w:pos="8306"/>
              </w:tabs>
              <w:spacing w:before="20" w:after="20"/>
              <w:jc w:val="both"/>
              <w:rPr>
                <w:rFonts w:ascii="Arial" w:hAnsi="Arial" w:cs="Arial"/>
                <w:sz w:val="21"/>
                <w:szCs w:val="21"/>
              </w:rPr>
            </w:pPr>
            <w:r>
              <w:rPr>
                <w:rFonts w:hint="eastAsia" w:ascii="Arial" w:hAnsi="Arial" w:cs="Arial"/>
                <w:sz w:val="21"/>
                <w:szCs w:val="21"/>
              </w:rPr>
              <w:t>4、验证人员熟悉设备验证部分的验证方法，并能独立进行验证。</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bl>
    <w:p>
      <w:pPr>
        <w:pStyle w:val="21"/>
        <w:numPr>
          <w:ilvl w:val="0"/>
          <w:numId w:val="3"/>
        </w:numPr>
        <w:spacing w:line="360" w:lineRule="auto"/>
        <w:ind w:firstLineChars="0"/>
        <w:rPr>
          <w:rFonts w:ascii="仿宋" w:hAnsi="仿宋" w:eastAsia="仿宋" w:cs="微软雅黑"/>
          <w:b/>
          <w:sz w:val="22"/>
          <w:szCs w:val="21"/>
        </w:rPr>
      </w:pPr>
      <w:r>
        <w:rPr>
          <w:rFonts w:hint="eastAsia" w:ascii="仿宋" w:hAnsi="仿宋" w:eastAsia="仿宋" w:cs="宋体"/>
          <w:b/>
          <w:color w:val="000000" w:themeColor="text1"/>
          <w:kern w:val="0"/>
          <w:sz w:val="32"/>
          <w:szCs w:val="28"/>
          <w14:textFill>
            <w14:solidFill>
              <w14:schemeClr w14:val="tx1"/>
            </w14:solidFill>
          </w14:textFill>
        </w:rPr>
        <w:t>工作环境</w:t>
      </w:r>
    </w:p>
    <w:p>
      <w:pPr>
        <w:spacing w:before="120" w:after="160" w:line="360" w:lineRule="auto"/>
        <w:ind w:firstLine="560" w:firstLineChars="200"/>
        <w:contextualSpacing/>
        <w:jc w:val="left"/>
        <w:rPr>
          <w:rFonts w:ascii="仿宋" w:hAnsi="仿宋" w:eastAsia="仿宋" w:cs="微软雅黑"/>
          <w:b/>
          <w:sz w:val="22"/>
          <w:szCs w:val="21"/>
        </w:rPr>
      </w:pPr>
      <w:r>
        <w:rPr>
          <w:rFonts w:hint="eastAsia" w:ascii="仿宋" w:hAnsi="仿宋" w:eastAsia="仿宋" w:cs="宋体"/>
          <w:color w:val="000000" w:themeColor="text1"/>
          <w:kern w:val="0"/>
          <w:sz w:val="28"/>
          <w:szCs w:val="28"/>
          <w14:textFill>
            <w14:solidFill>
              <w14:schemeClr w14:val="tx1"/>
            </w14:solidFill>
          </w14:textFill>
        </w:rPr>
        <w:t>工作环境</w:t>
      </w:r>
      <w:r>
        <w:rPr>
          <w:rFonts w:ascii="仿宋" w:hAnsi="仿宋" w:eastAsia="仿宋" w:cs="宋体"/>
          <w:color w:val="000000" w:themeColor="text1"/>
          <w:kern w:val="0"/>
          <w:sz w:val="28"/>
          <w:szCs w:val="28"/>
          <w14:textFill>
            <w14:solidFill>
              <w14:schemeClr w14:val="tx1"/>
            </w14:solidFill>
          </w14:textFill>
        </w:rPr>
        <w:t>温度5—40</w:t>
      </w:r>
      <w:r>
        <w:rPr>
          <w:rFonts w:hint="eastAsia" w:ascii="仿宋" w:hAnsi="仿宋" w:eastAsia="仿宋" w:cs="宋体"/>
          <w:color w:val="000000" w:themeColor="text1"/>
          <w:kern w:val="0"/>
          <w:sz w:val="28"/>
          <w:szCs w:val="28"/>
          <w14:textFill>
            <w14:solidFill>
              <w14:schemeClr w14:val="tx1"/>
            </w14:solidFill>
          </w14:textFill>
        </w:rPr>
        <w:t>℃</w:t>
      </w:r>
      <w:r>
        <w:rPr>
          <w:rFonts w:ascii="仿宋" w:hAnsi="仿宋" w:eastAsia="仿宋" w:cs="宋体"/>
          <w:color w:val="000000" w:themeColor="text1"/>
          <w:kern w:val="0"/>
          <w:sz w:val="28"/>
          <w:szCs w:val="28"/>
          <w14:textFill>
            <w14:solidFill>
              <w14:schemeClr w14:val="tx1"/>
            </w14:solidFill>
          </w14:textFill>
        </w:rPr>
        <w:t>，相对湿度10</w:t>
      </w:r>
      <w:r>
        <w:rPr>
          <w:rFonts w:hint="eastAsia" w:ascii="仿宋" w:hAnsi="仿宋" w:eastAsia="仿宋" w:cs="宋体"/>
          <w:color w:val="000000" w:themeColor="text1"/>
          <w:kern w:val="0"/>
          <w:sz w:val="28"/>
          <w:szCs w:val="28"/>
          <w14:textFill>
            <w14:solidFill>
              <w14:schemeClr w14:val="tx1"/>
            </w14:solidFill>
          </w14:textFill>
        </w:rPr>
        <w:t>～</w:t>
      </w:r>
      <w:r>
        <w:rPr>
          <w:rFonts w:ascii="仿宋" w:hAnsi="仿宋" w:eastAsia="仿宋" w:cs="宋体"/>
          <w:color w:val="000000" w:themeColor="text1"/>
          <w:kern w:val="0"/>
          <w:sz w:val="28"/>
          <w:szCs w:val="28"/>
          <w14:textFill>
            <w14:solidFill>
              <w14:schemeClr w14:val="tx1"/>
            </w14:solidFill>
          </w14:textFill>
        </w:rPr>
        <w:t>80</w:t>
      </w:r>
      <w:r>
        <w:rPr>
          <w:rFonts w:hint="eastAsia" w:ascii="仿宋" w:hAnsi="仿宋" w:eastAsia="仿宋" w:cs="宋体"/>
          <w:color w:val="000000" w:themeColor="text1"/>
          <w:kern w:val="0"/>
          <w:sz w:val="28"/>
          <w:szCs w:val="28"/>
          <w14:textFill>
            <w14:solidFill>
              <w14:schemeClr w14:val="tx1"/>
            </w14:solidFill>
          </w14:textFill>
        </w:rPr>
        <w:t>%。</w:t>
      </w:r>
    </w:p>
    <w:p>
      <w:pPr>
        <w:pStyle w:val="21"/>
        <w:numPr>
          <w:ilvl w:val="0"/>
          <w:numId w:val="3"/>
        </w:numPr>
        <w:ind w:firstLineChars="0"/>
        <w:rPr>
          <w:rFonts w:ascii="仿宋" w:hAnsi="仿宋" w:eastAsia="仿宋"/>
          <w:b/>
          <w:sz w:val="32"/>
          <w:szCs w:val="28"/>
        </w:rPr>
      </w:pPr>
      <w:r>
        <w:rPr>
          <w:rFonts w:hint="eastAsia" w:ascii="仿宋" w:hAnsi="仿宋" w:eastAsia="仿宋"/>
          <w:b/>
          <w:sz w:val="32"/>
          <w:szCs w:val="28"/>
        </w:rPr>
        <w:t>总体要求及技术要求</w:t>
      </w:r>
    </w:p>
    <w:tbl>
      <w:tblPr>
        <w:tblStyle w:val="12"/>
        <w:tblpPr w:leftFromText="180" w:rightFromText="180" w:vertAnchor="text" w:horzAnchor="page" w:tblpX="1171" w:tblpY="726"/>
        <w:tblOverlap w:val="never"/>
        <w:tblW w:w="57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5"/>
        <w:gridCol w:w="6224"/>
        <w:gridCol w:w="1191"/>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000" w:type="pct"/>
            <w:gridSpan w:val="4"/>
            <w:shd w:val="clear" w:color="auto" w:fill="BEBEBE"/>
            <w:vAlign w:val="center"/>
          </w:tcPr>
          <w:p>
            <w:pPr>
              <w:pStyle w:val="2"/>
              <w:numPr>
                <w:ilvl w:val="1"/>
                <w:numId w:val="0"/>
              </w:numPr>
              <w:ind w:left="400"/>
              <w:rPr>
                <w:rFonts w:ascii="Arial" w:hAnsi="Arial" w:eastAsia="宋体" w:cs="Arial"/>
                <w:szCs w:val="21"/>
              </w:rPr>
            </w:pPr>
            <w:r>
              <w:rPr>
                <w:rFonts w:hint="eastAsia" w:ascii="Arial" w:hAnsi="Arial" w:eastAsia="宋体" w:cs="Arial"/>
                <w:szCs w:val="21"/>
              </w:rPr>
              <w:t>总体要求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06" w:type="pct"/>
            <w:vAlign w:val="center"/>
          </w:tcPr>
          <w:p>
            <w:pPr>
              <w:numPr>
                <w:ilvl w:val="0"/>
                <w:numId w:val="5"/>
              </w:numPr>
              <w:spacing w:before="20" w:after="20"/>
              <w:rPr>
                <w:rFonts w:ascii="Arial" w:hAnsi="Arial" w:cs="Arial"/>
                <w:szCs w:val="21"/>
              </w:rPr>
            </w:pPr>
          </w:p>
        </w:tc>
        <w:tc>
          <w:tcPr>
            <w:tcW w:w="3155" w:type="pct"/>
            <w:vAlign w:val="center"/>
          </w:tcPr>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质量标准：</w:t>
            </w:r>
          </w:p>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设备运行稳定可靠，</w:t>
            </w:r>
            <w:r>
              <w:rPr>
                <w:rFonts w:hint="eastAsia" w:ascii="Arial" w:hAnsi="Arial" w:cs="Arial"/>
                <w:sz w:val="21"/>
                <w:szCs w:val="21"/>
              </w:rPr>
              <w:t>所提供的空调机组性能应不低于GB 28232-2020臭氧消毒器卫生要求中所列的参考指标，</w:t>
            </w:r>
            <w:r>
              <w:rPr>
                <w:rFonts w:ascii="Arial" w:hAnsi="Arial" w:cs="Arial"/>
                <w:sz w:val="21"/>
                <w:szCs w:val="21"/>
              </w:rPr>
              <w:t>并符合最新版本的相关法规和国家标准的相关要求。</w:t>
            </w:r>
          </w:p>
        </w:tc>
        <w:tc>
          <w:tcPr>
            <w:tcW w:w="604" w:type="pct"/>
            <w:vAlign w:val="center"/>
          </w:tcPr>
          <w:p>
            <w:pPr>
              <w:spacing w:before="20" w:after="20"/>
              <w:jc w:val="center"/>
              <w:rPr>
                <w:rFonts w:ascii="Arial" w:hAnsi="Arial" w:cs="Arial"/>
                <w:szCs w:val="21"/>
              </w:rPr>
            </w:pPr>
            <w:r>
              <w:rPr>
                <w:rFonts w:hint="eastAsia" w:ascii="Arial" w:hAnsi="Arial" w:cs="Arial"/>
                <w:szCs w:val="21"/>
              </w:rPr>
              <w:t>高</w:t>
            </w:r>
          </w:p>
        </w:tc>
        <w:tc>
          <w:tcPr>
            <w:tcW w:w="635" w:type="pct"/>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06" w:type="pct"/>
            <w:vAlign w:val="center"/>
          </w:tcPr>
          <w:p>
            <w:pPr>
              <w:numPr>
                <w:ilvl w:val="0"/>
                <w:numId w:val="5"/>
              </w:numPr>
              <w:spacing w:before="20" w:after="20"/>
              <w:rPr>
                <w:rFonts w:ascii="Arial" w:hAnsi="Arial" w:cs="Arial"/>
                <w:szCs w:val="21"/>
              </w:rPr>
            </w:pPr>
          </w:p>
        </w:tc>
        <w:tc>
          <w:tcPr>
            <w:tcW w:w="3155" w:type="pct"/>
            <w:vAlign w:val="center"/>
          </w:tcPr>
          <w:p>
            <w:pPr>
              <w:pStyle w:val="9"/>
              <w:tabs>
                <w:tab w:val="center" w:pos="4320"/>
                <w:tab w:val="right" w:pos="8640"/>
                <w:tab w:val="clear" w:pos="4153"/>
                <w:tab w:val="clear" w:pos="8306"/>
              </w:tabs>
              <w:spacing w:before="20" w:after="20"/>
              <w:jc w:val="both"/>
              <w:rPr>
                <w:rFonts w:ascii="Arial" w:hAnsi="Arial" w:cs="Arial"/>
                <w:sz w:val="21"/>
                <w:szCs w:val="21"/>
              </w:rPr>
            </w:pPr>
            <w:r>
              <w:rPr>
                <w:rFonts w:hint="eastAsia" w:ascii="Arial" w:hAnsi="Arial" w:cs="Arial"/>
                <w:color w:val="FF0000"/>
                <w:sz w:val="21"/>
                <w:szCs w:val="21"/>
              </w:rPr>
              <w:t>生产企业有卫生许可证及安全评价报告，具有三体系认证，且和国内大型乳制品企业合作的应用案例不少于5家。</w:t>
            </w:r>
          </w:p>
        </w:tc>
        <w:tc>
          <w:tcPr>
            <w:tcW w:w="604" w:type="pct"/>
            <w:vAlign w:val="center"/>
          </w:tcPr>
          <w:p>
            <w:pPr>
              <w:spacing w:before="20" w:after="20"/>
              <w:jc w:val="center"/>
              <w:rPr>
                <w:rFonts w:ascii="Arial" w:hAnsi="Arial" w:cs="Arial"/>
                <w:szCs w:val="21"/>
              </w:rPr>
            </w:pPr>
          </w:p>
        </w:tc>
        <w:tc>
          <w:tcPr>
            <w:tcW w:w="635" w:type="pct"/>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06" w:type="pct"/>
            <w:vAlign w:val="center"/>
          </w:tcPr>
          <w:p>
            <w:pPr>
              <w:numPr>
                <w:ilvl w:val="0"/>
                <w:numId w:val="5"/>
              </w:numPr>
              <w:spacing w:before="20" w:after="20"/>
              <w:rPr>
                <w:rFonts w:ascii="Arial" w:hAnsi="Arial" w:cs="Arial"/>
                <w:szCs w:val="21"/>
              </w:rPr>
            </w:pPr>
          </w:p>
        </w:tc>
        <w:tc>
          <w:tcPr>
            <w:tcW w:w="3155" w:type="pct"/>
            <w:vAlign w:val="center"/>
          </w:tcPr>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电气标准：</w:t>
            </w:r>
          </w:p>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电气设备应符合EN60204-1标准或IE60204-1标准。</w:t>
            </w:r>
          </w:p>
        </w:tc>
        <w:tc>
          <w:tcPr>
            <w:tcW w:w="604" w:type="pct"/>
            <w:vAlign w:val="center"/>
          </w:tcPr>
          <w:p>
            <w:pPr>
              <w:jc w:val="center"/>
              <w:rPr>
                <w:rFonts w:ascii="Arial" w:hAnsi="Arial" w:cs="Arial"/>
                <w:szCs w:val="21"/>
              </w:rPr>
            </w:pPr>
            <w:r>
              <w:rPr>
                <w:rFonts w:hint="eastAsia" w:ascii="Arial" w:hAnsi="Arial" w:cs="Arial"/>
                <w:szCs w:val="21"/>
              </w:rPr>
              <w:t>高</w:t>
            </w:r>
          </w:p>
        </w:tc>
        <w:tc>
          <w:tcPr>
            <w:tcW w:w="635" w:type="pct"/>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06" w:type="pct"/>
            <w:vAlign w:val="center"/>
          </w:tcPr>
          <w:p>
            <w:pPr>
              <w:numPr>
                <w:ilvl w:val="0"/>
                <w:numId w:val="5"/>
              </w:numPr>
              <w:spacing w:before="120" w:line="240" w:lineRule="exact"/>
              <w:rPr>
                <w:rFonts w:ascii="Arial" w:hAnsi="Arial" w:cs="Arial"/>
                <w:szCs w:val="21"/>
              </w:rPr>
            </w:pPr>
          </w:p>
        </w:tc>
        <w:tc>
          <w:tcPr>
            <w:tcW w:w="3155" w:type="pct"/>
            <w:vAlign w:val="center"/>
          </w:tcPr>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机械标准：</w:t>
            </w:r>
          </w:p>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机械设备均应符合2006/42/EC标准。</w:t>
            </w:r>
          </w:p>
        </w:tc>
        <w:tc>
          <w:tcPr>
            <w:tcW w:w="604" w:type="pct"/>
            <w:vAlign w:val="center"/>
          </w:tcPr>
          <w:p>
            <w:pPr>
              <w:jc w:val="center"/>
              <w:rPr>
                <w:rFonts w:ascii="Arial" w:hAnsi="Arial" w:cs="Arial"/>
                <w:szCs w:val="21"/>
              </w:rPr>
            </w:pPr>
            <w:r>
              <w:rPr>
                <w:rFonts w:hint="eastAsia" w:ascii="Arial" w:hAnsi="Arial" w:cs="Arial"/>
                <w:szCs w:val="21"/>
              </w:rPr>
              <w:t>高</w:t>
            </w:r>
          </w:p>
        </w:tc>
        <w:tc>
          <w:tcPr>
            <w:tcW w:w="635" w:type="pct"/>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06" w:type="pct"/>
            <w:vAlign w:val="center"/>
          </w:tcPr>
          <w:p>
            <w:pPr>
              <w:numPr>
                <w:ilvl w:val="0"/>
                <w:numId w:val="5"/>
              </w:numPr>
              <w:spacing w:before="20" w:after="20"/>
              <w:rPr>
                <w:rFonts w:ascii="Arial" w:hAnsi="Arial" w:cs="Arial"/>
                <w:szCs w:val="21"/>
              </w:rPr>
            </w:pPr>
          </w:p>
        </w:tc>
        <w:tc>
          <w:tcPr>
            <w:tcW w:w="3155" w:type="pct"/>
            <w:vAlign w:val="center"/>
          </w:tcPr>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安全标准：</w:t>
            </w:r>
          </w:p>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达到CE标准要求和国内EHS要求。</w:t>
            </w:r>
          </w:p>
        </w:tc>
        <w:tc>
          <w:tcPr>
            <w:tcW w:w="604" w:type="pct"/>
            <w:vAlign w:val="center"/>
          </w:tcPr>
          <w:p>
            <w:pPr>
              <w:jc w:val="center"/>
              <w:rPr>
                <w:rFonts w:ascii="Arial" w:hAnsi="Arial" w:cs="Arial"/>
                <w:szCs w:val="21"/>
              </w:rPr>
            </w:pPr>
            <w:r>
              <w:rPr>
                <w:rFonts w:hint="eastAsia" w:ascii="Arial" w:hAnsi="Arial" w:cs="Arial"/>
                <w:szCs w:val="21"/>
              </w:rPr>
              <w:t>高</w:t>
            </w:r>
          </w:p>
        </w:tc>
        <w:tc>
          <w:tcPr>
            <w:tcW w:w="635" w:type="pct"/>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06" w:type="pct"/>
            <w:vAlign w:val="center"/>
          </w:tcPr>
          <w:p>
            <w:pPr>
              <w:numPr>
                <w:ilvl w:val="0"/>
                <w:numId w:val="5"/>
              </w:numPr>
              <w:spacing w:before="20" w:after="20"/>
              <w:rPr>
                <w:rFonts w:ascii="Arial" w:hAnsi="Arial" w:cs="Arial"/>
                <w:szCs w:val="21"/>
              </w:rPr>
            </w:pPr>
          </w:p>
        </w:tc>
        <w:tc>
          <w:tcPr>
            <w:tcW w:w="3155" w:type="pct"/>
            <w:vAlign w:val="center"/>
          </w:tcPr>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电线电缆标准：</w:t>
            </w:r>
          </w:p>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所有电气设备的电线和电缆必须依据IEC标准。</w:t>
            </w:r>
          </w:p>
        </w:tc>
        <w:tc>
          <w:tcPr>
            <w:tcW w:w="604" w:type="pct"/>
            <w:vAlign w:val="center"/>
          </w:tcPr>
          <w:p>
            <w:pPr>
              <w:jc w:val="center"/>
              <w:rPr>
                <w:rFonts w:ascii="Arial" w:hAnsi="Arial" w:cs="Arial"/>
                <w:szCs w:val="21"/>
              </w:rPr>
            </w:pPr>
            <w:r>
              <w:rPr>
                <w:rFonts w:hint="eastAsia" w:ascii="Arial" w:hAnsi="Arial" w:cs="Arial"/>
                <w:szCs w:val="21"/>
              </w:rPr>
              <w:t>高</w:t>
            </w:r>
          </w:p>
        </w:tc>
        <w:tc>
          <w:tcPr>
            <w:tcW w:w="635" w:type="pct"/>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06" w:type="pct"/>
            <w:vAlign w:val="center"/>
          </w:tcPr>
          <w:p>
            <w:pPr>
              <w:numPr>
                <w:ilvl w:val="0"/>
                <w:numId w:val="5"/>
              </w:numPr>
              <w:spacing w:before="20" w:after="20"/>
              <w:rPr>
                <w:rFonts w:ascii="Arial" w:hAnsi="Arial" w:cs="Arial"/>
                <w:szCs w:val="21"/>
              </w:rPr>
            </w:pPr>
          </w:p>
        </w:tc>
        <w:tc>
          <w:tcPr>
            <w:tcW w:w="3155" w:type="pct"/>
            <w:vAlign w:val="center"/>
          </w:tcPr>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防护等级：</w:t>
            </w:r>
          </w:p>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电动机、电气、仪表及所有控制系统的部件（包括控制盘）的机械防护等级IP54及以上。</w:t>
            </w:r>
          </w:p>
        </w:tc>
        <w:tc>
          <w:tcPr>
            <w:tcW w:w="604" w:type="pct"/>
            <w:vAlign w:val="center"/>
          </w:tcPr>
          <w:p>
            <w:pPr>
              <w:jc w:val="center"/>
              <w:rPr>
                <w:rFonts w:ascii="Arial" w:hAnsi="Arial" w:cs="Arial"/>
                <w:szCs w:val="21"/>
              </w:rPr>
            </w:pPr>
            <w:r>
              <w:rPr>
                <w:rFonts w:hint="eastAsia" w:ascii="Arial" w:hAnsi="Arial" w:cs="Arial"/>
                <w:szCs w:val="21"/>
              </w:rPr>
              <w:t>高</w:t>
            </w:r>
          </w:p>
        </w:tc>
        <w:tc>
          <w:tcPr>
            <w:tcW w:w="635" w:type="pct"/>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06" w:type="pct"/>
            <w:vAlign w:val="center"/>
          </w:tcPr>
          <w:p>
            <w:pPr>
              <w:numPr>
                <w:ilvl w:val="0"/>
                <w:numId w:val="5"/>
              </w:numPr>
              <w:spacing w:before="20" w:after="20"/>
              <w:rPr>
                <w:rFonts w:ascii="Arial" w:hAnsi="Arial" w:cs="Arial"/>
                <w:szCs w:val="21"/>
              </w:rPr>
            </w:pPr>
          </w:p>
        </w:tc>
        <w:tc>
          <w:tcPr>
            <w:tcW w:w="3155" w:type="pct"/>
            <w:vAlign w:val="center"/>
          </w:tcPr>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整机的设计制造符合“2010版GMP、2008版EU-cGMP、FDA2004版cGMP”规范要求，符合人体工程学要求，外观要求美观大方、洁净光亮，焊缝要求抛光。</w:t>
            </w:r>
          </w:p>
        </w:tc>
        <w:tc>
          <w:tcPr>
            <w:tcW w:w="604" w:type="pct"/>
            <w:vAlign w:val="center"/>
          </w:tcPr>
          <w:p>
            <w:pPr>
              <w:jc w:val="center"/>
              <w:rPr>
                <w:rFonts w:ascii="Arial" w:hAnsi="Arial" w:cs="Arial"/>
                <w:szCs w:val="21"/>
              </w:rPr>
            </w:pPr>
            <w:r>
              <w:rPr>
                <w:rFonts w:hint="eastAsia" w:ascii="Arial" w:hAnsi="Arial" w:cs="Arial"/>
                <w:szCs w:val="21"/>
              </w:rPr>
              <w:t>高</w:t>
            </w:r>
          </w:p>
        </w:tc>
        <w:tc>
          <w:tcPr>
            <w:tcW w:w="635" w:type="pct"/>
            <w:vAlign w:val="center"/>
          </w:tcPr>
          <w:p>
            <w:pPr>
              <w:spacing w:before="20" w:after="20"/>
              <w:rPr>
                <w:rFonts w:ascii="Arial" w:hAnsi="Arial" w:cs="Arial"/>
                <w:szCs w:val="21"/>
              </w:rPr>
            </w:pPr>
          </w:p>
        </w:tc>
      </w:tr>
    </w:tbl>
    <w:tbl>
      <w:tblPr>
        <w:tblStyle w:val="12"/>
        <w:tblpPr w:leftFromText="180" w:rightFromText="180" w:vertAnchor="text" w:horzAnchor="margin" w:tblpXSpec="center" w:tblpY="867"/>
        <w:tblOverlap w:val="neve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6226"/>
        <w:gridCol w:w="1192"/>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889" w:type="dxa"/>
            <w:gridSpan w:val="4"/>
            <w:shd w:val="clear" w:color="auto" w:fill="BEBEBE"/>
            <w:vAlign w:val="center"/>
          </w:tcPr>
          <w:p>
            <w:pPr>
              <w:pStyle w:val="2"/>
              <w:numPr>
                <w:ilvl w:val="1"/>
                <w:numId w:val="0"/>
              </w:numPr>
              <w:ind w:left="400"/>
              <w:rPr>
                <w:rFonts w:ascii="Arial" w:hAnsi="Arial" w:eastAsia="宋体" w:cs="Arial"/>
                <w:szCs w:val="21"/>
              </w:rPr>
            </w:pPr>
            <w:bookmarkStart w:id="8" w:name="_Toc18437"/>
            <w:r>
              <w:rPr>
                <w:rFonts w:hint="eastAsia" w:ascii="Arial" w:hAnsi="Arial" w:eastAsia="宋体" w:cs="Arial"/>
                <w:szCs w:val="21"/>
              </w:rPr>
              <w:t>FAT—工厂验收测试</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供应商应根据URS的相关技术条款及投标书内容、合同等为依据，提供出厂前工厂内验收测试方案（需要带有各种应有的验收测试参数），并经需方确认、签名、盖章后实行。</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所有机械部分以及各个系统均需进行功能检测。检测方案和报告将形成书面文件，并作为整个验收测试的不可缺少部分。方案和报告都由供应商负责起草，审阅。甲方负责认可和批准。这些文件应该在设备发货时一并提供给使用方。</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设备在工厂制作完成，出厂前由制造商进行性能检测，以便检查设备是否能够满足合同对设备的要求，而且必须经过双方确认。</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FAT的工作范围：</w:t>
            </w:r>
          </w:p>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设备组装安装确认-IQ；</w:t>
            </w:r>
          </w:p>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技术参数确认-IQ；</w:t>
            </w:r>
          </w:p>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配置确认-IQ；</w:t>
            </w:r>
          </w:p>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运行确认-OQ；</w:t>
            </w:r>
          </w:p>
          <w:p>
            <w:pPr>
              <w:pStyle w:val="9"/>
              <w:tabs>
                <w:tab w:val="center" w:pos="4320"/>
                <w:tab w:val="right" w:pos="8640"/>
                <w:tab w:val="clear" w:pos="4153"/>
                <w:tab w:val="clear" w:pos="8306"/>
              </w:tabs>
              <w:spacing w:before="20" w:after="20"/>
              <w:jc w:val="both"/>
              <w:rPr>
                <w:rFonts w:ascii="Arial" w:hAnsi="Arial" w:cs="Arial"/>
                <w:sz w:val="21"/>
                <w:szCs w:val="21"/>
              </w:rPr>
            </w:pPr>
            <w:r>
              <w:rPr>
                <w:rFonts w:hint="eastAsia" w:ascii="Arial" w:hAnsi="Arial" w:cs="Arial"/>
                <w:sz w:val="21"/>
                <w:szCs w:val="21"/>
              </w:rPr>
              <w:t>功能</w:t>
            </w:r>
            <w:r>
              <w:rPr>
                <w:rFonts w:ascii="Arial" w:hAnsi="Arial" w:cs="Arial"/>
                <w:sz w:val="21"/>
                <w:szCs w:val="21"/>
              </w:rPr>
              <w:t>确认-PQ</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安装及验收期间供应商至少有一人全程配合。</w:t>
            </w:r>
          </w:p>
        </w:tc>
        <w:tc>
          <w:tcPr>
            <w:tcW w:w="1192" w:type="dxa"/>
            <w:vAlign w:val="center"/>
          </w:tcPr>
          <w:p>
            <w:pPr>
              <w:jc w:val="center"/>
              <w:rPr>
                <w:rFonts w:ascii="Arial" w:hAnsi="Arial" w:cs="Arial"/>
                <w:szCs w:val="21"/>
              </w:rPr>
            </w:pPr>
            <w:r>
              <w:rPr>
                <w:rFonts w:hint="eastAsia" w:ascii="Arial" w:hAnsi="Arial" w:cs="Arial"/>
                <w:szCs w:val="21"/>
              </w:rPr>
              <w:t>高</w:t>
            </w:r>
          </w:p>
        </w:tc>
        <w:tc>
          <w:tcPr>
            <w:tcW w:w="1275" w:type="dxa"/>
            <w:vAlign w:val="center"/>
          </w:tcPr>
          <w:p>
            <w:pPr>
              <w:spacing w:before="20" w:after="20"/>
              <w:rPr>
                <w:rFonts w:ascii="Arial" w:hAnsi="Arial" w:cs="Arial"/>
                <w:szCs w:val="21"/>
              </w:rPr>
            </w:pPr>
          </w:p>
        </w:tc>
      </w:tr>
    </w:tbl>
    <w:p>
      <w:pPr>
        <w:pStyle w:val="21"/>
        <w:numPr>
          <w:ilvl w:val="0"/>
          <w:numId w:val="3"/>
        </w:numPr>
        <w:ind w:firstLineChars="0"/>
        <w:rPr>
          <w:rFonts w:ascii="微软雅黑" w:hAnsi="微软雅黑" w:eastAsia="微软雅黑" w:cs="仿宋_GB2312"/>
          <w:b/>
          <w:sz w:val="24"/>
        </w:rPr>
      </w:pPr>
      <w:r>
        <w:rPr>
          <w:rFonts w:ascii="微软雅黑" w:hAnsi="微软雅黑" w:eastAsia="微软雅黑" w:cs="仿宋_GB2312"/>
          <w:b/>
          <w:sz w:val="24"/>
        </w:rPr>
        <w:t>验收要求</w:t>
      </w:r>
    </w:p>
    <w:tbl>
      <w:tblPr>
        <w:tblStyle w:val="12"/>
        <w:tblpPr w:leftFromText="180" w:rightFromText="180" w:vertAnchor="text" w:horzAnchor="page" w:tblpX="1121" w:tblpY="396"/>
        <w:tblOverlap w:val="never"/>
        <w:tblW w:w="9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6226"/>
        <w:gridCol w:w="1192"/>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865" w:type="dxa"/>
            <w:gridSpan w:val="4"/>
            <w:shd w:val="clear" w:color="auto" w:fill="BEBEBE"/>
            <w:vAlign w:val="center"/>
          </w:tcPr>
          <w:p>
            <w:pPr>
              <w:pStyle w:val="2"/>
              <w:numPr>
                <w:ilvl w:val="1"/>
                <w:numId w:val="0"/>
              </w:numPr>
              <w:ind w:left="400"/>
              <w:rPr>
                <w:rFonts w:ascii="Arial" w:hAnsi="Arial" w:eastAsia="宋体" w:cs="Arial"/>
                <w:szCs w:val="21"/>
              </w:rPr>
            </w:pPr>
            <w:bookmarkStart w:id="9" w:name="_Toc16699"/>
            <w:r>
              <w:rPr>
                <w:rFonts w:hint="eastAsia" w:ascii="Arial" w:hAnsi="Arial" w:eastAsia="宋体" w:cs="Arial"/>
                <w:szCs w:val="21"/>
              </w:rPr>
              <w:t>现场验收测试</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供应商应根据URS及现场验证测试SAT的相关技术条款为依据，提供出厂后现场验收测试的项目及结果。</w:t>
            </w:r>
          </w:p>
        </w:tc>
        <w:tc>
          <w:tcPr>
            <w:tcW w:w="1192" w:type="dxa"/>
            <w:vAlign w:val="center"/>
          </w:tcPr>
          <w:p>
            <w:pPr>
              <w:jc w:val="center"/>
              <w:rPr>
                <w:rFonts w:ascii="Arial" w:hAnsi="Arial" w:cs="Arial"/>
                <w:szCs w:val="21"/>
              </w:rPr>
            </w:pPr>
            <w:r>
              <w:rPr>
                <w:rFonts w:hint="eastAsia" w:ascii="Arial" w:hAnsi="Arial" w:cs="Arial"/>
                <w:szCs w:val="21"/>
              </w:rPr>
              <w:t>高</w:t>
            </w:r>
          </w:p>
        </w:tc>
        <w:tc>
          <w:tcPr>
            <w:tcW w:w="1251"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按照所应用的标准和规范进行现场验收和检测，供应商应列出验收和检测项目及计划。对于每一项检查和测试（用户代表见证的或未见证的）供应商都应出具检测报告和检测证书，这些文件包含在最终竣工文件内，调试完毕时提供给使用方。</w:t>
            </w:r>
          </w:p>
        </w:tc>
        <w:tc>
          <w:tcPr>
            <w:tcW w:w="1192" w:type="dxa"/>
            <w:vAlign w:val="center"/>
          </w:tcPr>
          <w:p>
            <w:pPr>
              <w:jc w:val="center"/>
              <w:rPr>
                <w:rFonts w:ascii="Arial" w:hAnsi="Arial" w:cs="Arial"/>
                <w:szCs w:val="21"/>
              </w:rPr>
            </w:pPr>
            <w:r>
              <w:rPr>
                <w:rFonts w:hint="eastAsia" w:ascii="Arial" w:hAnsi="Arial" w:cs="Arial"/>
                <w:szCs w:val="21"/>
              </w:rPr>
              <w:t>高</w:t>
            </w:r>
          </w:p>
        </w:tc>
        <w:tc>
          <w:tcPr>
            <w:tcW w:w="1251"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设备调试完成后，供应商须派技术人员协同用户进行产品验证。</w:t>
            </w:r>
          </w:p>
        </w:tc>
        <w:tc>
          <w:tcPr>
            <w:tcW w:w="1192" w:type="dxa"/>
            <w:vAlign w:val="center"/>
          </w:tcPr>
          <w:p>
            <w:pPr>
              <w:jc w:val="center"/>
              <w:rPr>
                <w:rFonts w:ascii="Arial" w:hAnsi="Arial" w:cs="Arial"/>
                <w:szCs w:val="21"/>
              </w:rPr>
            </w:pPr>
            <w:r>
              <w:rPr>
                <w:rFonts w:hint="eastAsia" w:ascii="Arial" w:hAnsi="Arial" w:cs="Arial"/>
                <w:szCs w:val="21"/>
              </w:rPr>
              <w:t>高</w:t>
            </w:r>
          </w:p>
        </w:tc>
        <w:tc>
          <w:tcPr>
            <w:tcW w:w="1251"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在设备就位后，供应商应负责设备调试工作，只有当设备完全符合上述工艺、设备、电气等条件且车间正常生产2天后方可离开。</w:t>
            </w:r>
          </w:p>
        </w:tc>
        <w:tc>
          <w:tcPr>
            <w:tcW w:w="1192" w:type="dxa"/>
            <w:vAlign w:val="center"/>
          </w:tcPr>
          <w:p>
            <w:pPr>
              <w:jc w:val="center"/>
              <w:rPr>
                <w:rFonts w:ascii="Arial" w:hAnsi="Arial" w:cs="Arial"/>
                <w:szCs w:val="21"/>
              </w:rPr>
            </w:pPr>
            <w:r>
              <w:rPr>
                <w:rFonts w:hint="eastAsia" w:ascii="Arial" w:hAnsi="Arial" w:cs="Arial"/>
                <w:szCs w:val="21"/>
              </w:rPr>
              <w:t>高</w:t>
            </w:r>
          </w:p>
        </w:tc>
        <w:tc>
          <w:tcPr>
            <w:tcW w:w="1251"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设备的功能特别是技术参数将在三个完整的操作循环内确认。取得三个连续良好测试结果后，验收合格。</w:t>
            </w:r>
          </w:p>
        </w:tc>
        <w:tc>
          <w:tcPr>
            <w:tcW w:w="1192" w:type="dxa"/>
            <w:vAlign w:val="center"/>
          </w:tcPr>
          <w:p>
            <w:pPr>
              <w:jc w:val="center"/>
              <w:rPr>
                <w:rFonts w:ascii="Arial" w:hAnsi="Arial" w:cs="Arial"/>
                <w:szCs w:val="21"/>
              </w:rPr>
            </w:pPr>
            <w:r>
              <w:rPr>
                <w:rFonts w:hint="eastAsia" w:ascii="Arial" w:hAnsi="Arial" w:cs="Arial"/>
                <w:szCs w:val="21"/>
              </w:rPr>
              <w:t>高</w:t>
            </w:r>
          </w:p>
        </w:tc>
        <w:tc>
          <w:tcPr>
            <w:tcW w:w="1251"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如果测试结果不合格，制造方工程师要留在现场继续调试，制造方要采取措施尽快调试合格。</w:t>
            </w:r>
          </w:p>
        </w:tc>
        <w:tc>
          <w:tcPr>
            <w:tcW w:w="1192" w:type="dxa"/>
            <w:vAlign w:val="center"/>
          </w:tcPr>
          <w:p>
            <w:pPr>
              <w:jc w:val="center"/>
              <w:rPr>
                <w:rFonts w:ascii="Arial" w:hAnsi="Arial" w:cs="Arial"/>
                <w:szCs w:val="21"/>
              </w:rPr>
            </w:pPr>
            <w:r>
              <w:rPr>
                <w:rFonts w:hint="eastAsia" w:ascii="Arial" w:hAnsi="Arial" w:cs="Arial"/>
                <w:szCs w:val="21"/>
              </w:rPr>
              <w:t>高</w:t>
            </w:r>
          </w:p>
        </w:tc>
        <w:tc>
          <w:tcPr>
            <w:tcW w:w="1251"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SAT的工作范围，包括但不限于：</w:t>
            </w:r>
          </w:p>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安装确认；</w:t>
            </w:r>
          </w:p>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运行确认；</w:t>
            </w:r>
          </w:p>
          <w:p>
            <w:pPr>
              <w:pStyle w:val="9"/>
              <w:tabs>
                <w:tab w:val="center" w:pos="4320"/>
                <w:tab w:val="right" w:pos="8640"/>
                <w:tab w:val="clear" w:pos="4153"/>
                <w:tab w:val="clear" w:pos="8306"/>
              </w:tabs>
              <w:spacing w:before="20" w:after="20"/>
              <w:jc w:val="both"/>
              <w:rPr>
                <w:rFonts w:ascii="Arial" w:hAnsi="Arial" w:cs="Arial"/>
                <w:sz w:val="21"/>
                <w:szCs w:val="21"/>
              </w:rPr>
            </w:pPr>
            <w:r>
              <w:rPr>
                <w:rFonts w:hint="eastAsia" w:ascii="Arial" w:hAnsi="Arial" w:cs="Arial"/>
                <w:sz w:val="21"/>
                <w:szCs w:val="21"/>
              </w:rPr>
              <w:t>功</w:t>
            </w:r>
            <w:r>
              <w:rPr>
                <w:rFonts w:ascii="Arial" w:hAnsi="Arial" w:cs="Arial"/>
                <w:sz w:val="21"/>
                <w:szCs w:val="21"/>
              </w:rPr>
              <w:t>能确认。</w:t>
            </w:r>
          </w:p>
        </w:tc>
        <w:tc>
          <w:tcPr>
            <w:tcW w:w="1192" w:type="dxa"/>
            <w:vAlign w:val="center"/>
          </w:tcPr>
          <w:p>
            <w:pPr>
              <w:jc w:val="center"/>
              <w:rPr>
                <w:rFonts w:ascii="Arial" w:hAnsi="Arial" w:cs="Arial"/>
                <w:szCs w:val="21"/>
              </w:rPr>
            </w:pPr>
            <w:r>
              <w:rPr>
                <w:rFonts w:hint="eastAsia" w:ascii="Arial" w:hAnsi="Arial" w:cs="Arial"/>
                <w:szCs w:val="21"/>
              </w:rPr>
              <w:t>高</w:t>
            </w:r>
          </w:p>
        </w:tc>
        <w:tc>
          <w:tcPr>
            <w:tcW w:w="1251"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numPr>
                <w:ilvl w:val="0"/>
                <w:numId w:val="5"/>
              </w:numPr>
              <w:spacing w:before="20" w:after="20"/>
              <w:rPr>
                <w:rFonts w:ascii="Arial" w:hAnsi="Arial" w:cs="Arial"/>
                <w:szCs w:val="21"/>
              </w:rPr>
            </w:pP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最终验收后一年内供方免费负责一切非人员破坏性维修。</w:t>
            </w:r>
          </w:p>
        </w:tc>
        <w:tc>
          <w:tcPr>
            <w:tcW w:w="1192" w:type="dxa"/>
            <w:vAlign w:val="center"/>
          </w:tcPr>
          <w:p>
            <w:pPr>
              <w:jc w:val="center"/>
              <w:rPr>
                <w:rFonts w:ascii="Arial" w:hAnsi="Arial" w:cs="Arial"/>
                <w:szCs w:val="21"/>
              </w:rPr>
            </w:pPr>
            <w:r>
              <w:rPr>
                <w:rFonts w:hint="eastAsia" w:ascii="Arial" w:hAnsi="Arial" w:cs="Arial"/>
                <w:szCs w:val="21"/>
              </w:rPr>
              <w:t>高</w:t>
            </w:r>
          </w:p>
        </w:tc>
        <w:tc>
          <w:tcPr>
            <w:tcW w:w="1251" w:type="dxa"/>
            <w:vAlign w:val="center"/>
          </w:tcPr>
          <w:p>
            <w:pPr>
              <w:spacing w:before="20" w:after="20"/>
              <w:rPr>
                <w:rFonts w:ascii="Arial" w:hAnsi="Arial" w:cs="Arial"/>
                <w:szCs w:val="21"/>
              </w:rPr>
            </w:pPr>
          </w:p>
        </w:tc>
      </w:tr>
    </w:tbl>
    <w:p>
      <w:pPr>
        <w:pStyle w:val="21"/>
        <w:ind w:firstLine="0" w:firstLineChars="0"/>
        <w:rPr>
          <w:rFonts w:ascii="仿宋" w:hAnsi="仿宋" w:eastAsia="仿宋"/>
          <w:b/>
          <w:sz w:val="28"/>
          <w:szCs w:val="28"/>
        </w:rPr>
      </w:pPr>
    </w:p>
    <w:p>
      <w:pPr>
        <w:pStyle w:val="21"/>
        <w:numPr>
          <w:ilvl w:val="0"/>
          <w:numId w:val="3"/>
        </w:numPr>
        <w:ind w:firstLineChars="0"/>
        <w:rPr>
          <w:rFonts w:ascii="仿宋" w:hAnsi="仿宋" w:eastAsia="仿宋"/>
          <w:b/>
          <w:sz w:val="32"/>
          <w:szCs w:val="28"/>
        </w:rPr>
      </w:pPr>
      <w:r>
        <w:rPr>
          <w:rFonts w:hint="eastAsia" w:ascii="仿宋" w:hAnsi="仿宋" w:eastAsia="仿宋"/>
          <w:b/>
          <w:sz w:val="32"/>
          <w:szCs w:val="28"/>
        </w:rPr>
        <w:t>质量</w:t>
      </w:r>
      <w:r>
        <w:rPr>
          <w:rFonts w:ascii="仿宋" w:hAnsi="仿宋" w:eastAsia="仿宋"/>
          <w:b/>
          <w:sz w:val="32"/>
          <w:szCs w:val="28"/>
        </w:rPr>
        <w:t>要求</w:t>
      </w:r>
    </w:p>
    <w:p>
      <w:pPr>
        <w:ind w:firstLine="560"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在甲方接收货物并安装调试完毕之日起7日内为试运行期，试运行</w:t>
      </w:r>
      <w:r>
        <w:rPr>
          <w:rFonts w:ascii="仿宋" w:hAnsi="仿宋" w:eastAsia="仿宋" w:cs="宋体"/>
          <w:color w:val="000000" w:themeColor="text1"/>
          <w:kern w:val="0"/>
          <w:sz w:val="28"/>
          <w:szCs w:val="28"/>
          <w14:textFill>
            <w14:solidFill>
              <w14:schemeClr w14:val="tx1"/>
            </w14:solidFill>
          </w14:textFill>
        </w:rPr>
        <w:t>7</w:t>
      </w:r>
      <w:r>
        <w:rPr>
          <w:rFonts w:hint="eastAsia" w:ascii="仿宋" w:hAnsi="仿宋" w:eastAsia="仿宋" w:cs="宋体"/>
          <w:color w:val="000000" w:themeColor="text1"/>
          <w:kern w:val="0"/>
          <w:sz w:val="28"/>
          <w:szCs w:val="28"/>
          <w14:textFill>
            <w14:solidFill>
              <w14:schemeClr w14:val="tx1"/>
            </w14:solidFill>
          </w14:textFill>
        </w:rPr>
        <w:t>个生产日产能100%，如果7个生产日仍达不到产能100%，经第三方权威机构确认，甲方有权进行退货处理。试运行无误且满足验收条款，即视为终验合格，双方应签署验收合格证书。此期间如发现乙方交付的货物与本合同约定的质量标准不符的，乙方应在甲方提出书面异议之日起15日内负责更换零部件修理至达到约定的质量标准，费用由乙方承担。</w:t>
      </w:r>
    </w:p>
    <w:p>
      <w:pPr>
        <w:ind w:firstLine="560"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xml:space="preserve">   验收条款：</w:t>
      </w:r>
    </w:p>
    <w:p>
      <w:pPr>
        <w:ind w:firstLine="560"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a.</w:t>
      </w:r>
      <w:r>
        <w:rPr>
          <w:rFonts w:hint="eastAsia" w:ascii="仿宋" w:hAnsi="仿宋" w:eastAsia="仿宋" w:cs="宋体"/>
          <w:color w:val="000000" w:themeColor="text1"/>
          <w:kern w:val="0"/>
          <w:sz w:val="28"/>
          <w:szCs w:val="28"/>
          <w14:textFill>
            <w14:solidFill>
              <w14:schemeClr w14:val="tx1"/>
            </w14:solidFill>
          </w14:textFill>
        </w:rPr>
        <w:tab/>
      </w:r>
      <w:r>
        <w:rPr>
          <w:rFonts w:hint="eastAsia" w:ascii="仿宋" w:hAnsi="仿宋" w:eastAsia="仿宋" w:cs="宋体"/>
          <w:color w:val="000000" w:themeColor="text1"/>
          <w:kern w:val="0"/>
          <w:sz w:val="28"/>
          <w:szCs w:val="28"/>
          <w14:textFill>
            <w14:solidFill>
              <w14:schemeClr w14:val="tx1"/>
            </w14:solidFill>
          </w14:textFill>
        </w:rPr>
        <w:t>硬件配置缺失：按分项报价或市场参考价承担损失。</w:t>
      </w:r>
    </w:p>
    <w:p>
      <w:pPr>
        <w:ind w:firstLine="560"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b.</w:t>
      </w:r>
      <w:r>
        <w:rPr>
          <w:rFonts w:hint="eastAsia" w:ascii="仿宋" w:hAnsi="仿宋" w:eastAsia="仿宋" w:cs="宋体"/>
          <w:color w:val="000000" w:themeColor="text1"/>
          <w:kern w:val="0"/>
          <w:sz w:val="28"/>
          <w:szCs w:val="28"/>
          <w14:textFill>
            <w14:solidFill>
              <w14:schemeClr w14:val="tx1"/>
            </w14:solidFill>
          </w14:textFill>
        </w:rPr>
        <w:tab/>
      </w:r>
      <w:r>
        <w:rPr>
          <w:rFonts w:hint="eastAsia" w:ascii="仿宋" w:hAnsi="仿宋" w:eastAsia="仿宋" w:cs="宋体"/>
          <w:color w:val="000000" w:themeColor="text1"/>
          <w:kern w:val="0"/>
          <w:sz w:val="28"/>
          <w:szCs w:val="28"/>
          <w14:textFill>
            <w14:solidFill>
              <w14:schemeClr w14:val="tx1"/>
            </w14:solidFill>
          </w14:textFill>
        </w:rPr>
        <w:t>重度偏离：第六条内容不符合属于重度偏离项。甲方提出重度偏离项15天内不能消除缺陷的，甲方有权单方解除合同并要求乙方退回已支付的款项。</w:t>
      </w:r>
    </w:p>
    <w:p>
      <w:pPr>
        <w:ind w:firstLine="560" w:firstLineChars="200"/>
        <w:rPr>
          <w:rFonts w:ascii="仿宋" w:hAnsi="仿宋" w:eastAsia="仿宋" w:cs="宋体"/>
          <w:kern w:val="0"/>
          <w:sz w:val="28"/>
          <w:szCs w:val="28"/>
        </w:rPr>
      </w:pPr>
      <w:r>
        <w:rPr>
          <w:rFonts w:hint="eastAsia" w:ascii="仿宋" w:hAnsi="仿宋" w:eastAsia="仿宋" w:cs="宋体"/>
          <w:color w:val="000000" w:themeColor="text1"/>
          <w:kern w:val="0"/>
          <w:sz w:val="28"/>
          <w:szCs w:val="28"/>
          <w14:textFill>
            <w14:solidFill>
              <w14:schemeClr w14:val="tx1"/>
            </w14:solidFill>
          </w14:textFill>
        </w:rPr>
        <w:t>c.</w:t>
      </w:r>
      <w:r>
        <w:rPr>
          <w:rFonts w:hint="eastAsia" w:ascii="仿宋" w:hAnsi="仿宋" w:eastAsia="仿宋" w:cs="宋体"/>
          <w:color w:val="000000" w:themeColor="text1"/>
          <w:kern w:val="0"/>
          <w:sz w:val="28"/>
          <w:szCs w:val="28"/>
          <w14:textFill>
            <w14:solidFill>
              <w14:schemeClr w14:val="tx1"/>
            </w14:solidFill>
          </w14:textFill>
        </w:rPr>
        <w:tab/>
      </w:r>
      <w:r>
        <w:rPr>
          <w:rFonts w:hint="eastAsia" w:ascii="仿宋" w:hAnsi="仿宋" w:eastAsia="仿宋" w:cs="宋体"/>
          <w:color w:val="000000" w:themeColor="text1"/>
          <w:kern w:val="0"/>
          <w:sz w:val="28"/>
          <w:szCs w:val="28"/>
          <w14:textFill>
            <w14:solidFill>
              <w14:schemeClr w14:val="tx1"/>
            </w14:solidFill>
          </w14:textFill>
        </w:rPr>
        <w:t>轻度偏离：第七条中除第六条外，其余内容不符合属于轻度偏离项。轻度偏离合项甲方可直接让步接收，对设备使用无影响的项目乙方免于承担损失，具体情况以双方最终商定结果为准。</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d</w:t>
      </w:r>
      <w:r>
        <w:rPr>
          <w:rFonts w:ascii="仿宋" w:hAnsi="仿宋" w:eastAsia="仿宋" w:cs="宋体"/>
          <w:kern w:val="0"/>
          <w:sz w:val="28"/>
          <w:szCs w:val="28"/>
        </w:rPr>
        <w:t xml:space="preserve">.  </w:t>
      </w:r>
      <w:r>
        <w:rPr>
          <w:rFonts w:hint="eastAsia" w:ascii="仿宋" w:hAnsi="仿宋" w:eastAsia="仿宋" w:cs="宋体"/>
          <w:kern w:val="0"/>
          <w:sz w:val="28"/>
          <w:szCs w:val="28"/>
        </w:rPr>
        <w:t>运行损耗不达标：设备调试期7天，7天</w:t>
      </w:r>
      <w:r>
        <w:rPr>
          <w:rFonts w:hint="eastAsia" w:ascii="仿宋" w:hAnsi="仿宋" w:eastAsia="仿宋" w:cs="宋体"/>
          <w:color w:val="000000" w:themeColor="text1"/>
          <w:kern w:val="0"/>
          <w:sz w:val="28"/>
          <w:szCs w:val="28"/>
          <w14:textFill>
            <w14:solidFill>
              <w14:schemeClr w14:val="tx1"/>
            </w14:solidFill>
          </w14:textFill>
        </w:rPr>
        <w:t>内运行损耗由甲方承担，超过7天损耗达不到技术要求，所产生的</w:t>
      </w:r>
      <w:r>
        <w:rPr>
          <w:rFonts w:ascii="仿宋" w:hAnsi="仿宋" w:eastAsia="仿宋" w:cs="宋体"/>
          <w:color w:val="000000" w:themeColor="text1"/>
          <w:kern w:val="0"/>
          <w:sz w:val="28"/>
          <w:szCs w:val="28"/>
          <w14:textFill>
            <w14:solidFill>
              <w14:schemeClr w14:val="tx1"/>
            </w14:solidFill>
          </w14:textFill>
        </w:rPr>
        <w:t>原辅料损耗</w:t>
      </w:r>
      <w:r>
        <w:rPr>
          <w:rFonts w:hint="eastAsia" w:ascii="仿宋" w:hAnsi="仿宋" w:eastAsia="仿宋" w:cs="宋体"/>
          <w:color w:val="000000" w:themeColor="text1"/>
          <w:kern w:val="0"/>
          <w:sz w:val="28"/>
          <w:szCs w:val="28"/>
          <w14:textFill>
            <w14:solidFill>
              <w14:schemeClr w14:val="tx1"/>
            </w14:solidFill>
          </w14:textFill>
        </w:rPr>
        <w:t>由</w:t>
      </w:r>
      <w:r>
        <w:rPr>
          <w:rFonts w:ascii="仿宋" w:hAnsi="仿宋" w:eastAsia="仿宋" w:cs="宋体"/>
          <w:color w:val="000000" w:themeColor="text1"/>
          <w:kern w:val="0"/>
          <w:sz w:val="28"/>
          <w:szCs w:val="28"/>
          <w14:textFill>
            <w14:solidFill>
              <w14:schemeClr w14:val="tx1"/>
            </w14:solidFill>
          </w14:textFill>
        </w:rPr>
        <w:t>乙方承担</w:t>
      </w:r>
      <w:r>
        <w:rPr>
          <w:rFonts w:hint="eastAsia" w:ascii="仿宋" w:hAnsi="仿宋" w:eastAsia="仿宋" w:cs="宋体"/>
          <w:color w:val="000000" w:themeColor="text1"/>
          <w:kern w:val="0"/>
          <w:sz w:val="28"/>
          <w:szCs w:val="28"/>
          <w14:textFill>
            <w14:solidFill>
              <w14:schemeClr w14:val="tx1"/>
            </w14:solidFill>
          </w14:textFill>
        </w:rPr>
        <w:t>。</w:t>
      </w:r>
    </w:p>
    <w:p>
      <w:pPr>
        <w:pStyle w:val="21"/>
        <w:numPr>
          <w:ilvl w:val="0"/>
          <w:numId w:val="3"/>
        </w:numPr>
        <w:ind w:firstLineChars="0"/>
        <w:rPr>
          <w:rFonts w:ascii="仿宋" w:hAnsi="仿宋" w:eastAsia="仿宋"/>
          <w:b/>
          <w:sz w:val="32"/>
          <w:szCs w:val="28"/>
        </w:rPr>
      </w:pPr>
      <w:r>
        <w:rPr>
          <w:rFonts w:hint="eastAsia" w:ascii="仿宋" w:hAnsi="仿宋" w:eastAsia="仿宋"/>
          <w:b/>
          <w:sz w:val="32"/>
          <w:szCs w:val="28"/>
        </w:rPr>
        <w:t>其他</w:t>
      </w:r>
      <w:r>
        <w:rPr>
          <w:rFonts w:ascii="仿宋" w:hAnsi="仿宋" w:eastAsia="仿宋"/>
          <w:b/>
          <w:sz w:val="32"/>
          <w:szCs w:val="28"/>
        </w:rPr>
        <w:t>要求</w:t>
      </w:r>
    </w:p>
    <w:tbl>
      <w:tblPr>
        <w:tblStyle w:val="12"/>
        <w:tblpPr w:leftFromText="180" w:rightFromText="180" w:vertAnchor="text" w:horzAnchor="page" w:tblpX="1482" w:tblpY="6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6226"/>
        <w:gridCol w:w="1192"/>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spacing w:before="20" w:after="20"/>
              <w:ind w:left="400"/>
              <w:rPr>
                <w:rFonts w:ascii="Arial" w:hAnsi="Arial" w:cs="Arial"/>
                <w:szCs w:val="21"/>
              </w:rPr>
            </w:pPr>
            <w:r>
              <w:rPr>
                <w:rFonts w:hint="eastAsia" w:ascii="Arial" w:hAnsi="Arial" w:cs="Arial"/>
                <w:szCs w:val="21"/>
              </w:rPr>
              <w:t>1.</w:t>
            </w:r>
          </w:p>
        </w:tc>
        <w:tc>
          <w:tcPr>
            <w:tcW w:w="6226" w:type="dxa"/>
            <w:vAlign w:val="center"/>
          </w:tcPr>
          <w:p>
            <w:pPr>
              <w:spacing w:line="360" w:lineRule="exact"/>
              <w:rPr>
                <w:rFonts w:ascii="Arial" w:hAnsi="Arial" w:cs="Arial"/>
                <w:szCs w:val="21"/>
              </w:rPr>
            </w:pPr>
            <w:r>
              <w:rPr>
                <w:rFonts w:ascii="Arial" w:hAnsi="Arial" w:cs="Arial"/>
                <w:szCs w:val="21"/>
              </w:rPr>
              <w:t>供应商应提供但不仅限于以下的文件资料：</w:t>
            </w:r>
          </w:p>
          <w:p>
            <w:pPr>
              <w:numPr>
                <w:ilvl w:val="0"/>
                <w:numId w:val="7"/>
              </w:numPr>
              <w:pBdr>
                <w:top w:val="none" w:color="auto" w:sz="0" w:space="1"/>
                <w:left w:val="none" w:color="auto" w:sz="0" w:space="4"/>
                <w:bottom w:val="none" w:color="auto" w:sz="0" w:space="1"/>
                <w:right w:val="none" w:color="auto" w:sz="0" w:space="4"/>
              </w:pBdr>
              <w:spacing w:line="360" w:lineRule="exact"/>
              <w:rPr>
                <w:rFonts w:ascii="Arial" w:hAnsi="Arial" w:cs="Arial"/>
                <w:szCs w:val="21"/>
              </w:rPr>
            </w:pPr>
            <w:r>
              <w:rPr>
                <w:rFonts w:ascii="Arial" w:hAnsi="Arial" w:cs="Arial"/>
                <w:szCs w:val="21"/>
              </w:rPr>
              <w:t>、提供全套验证文件，包括：IQ、OQ、SAT、FAT、FS</w:t>
            </w:r>
            <w:r>
              <w:rPr>
                <w:rFonts w:hint="eastAsia" w:ascii="Arial" w:hAnsi="Arial" w:cs="Arial"/>
                <w:szCs w:val="21"/>
              </w:rPr>
              <w:t>（包括HDS、SDS内容）</w:t>
            </w:r>
            <w:r>
              <w:rPr>
                <w:rFonts w:ascii="Arial" w:hAnsi="Arial" w:cs="Arial"/>
                <w:szCs w:val="21"/>
              </w:rPr>
              <w:t>、CCA、RA等，供应商提供PQ文件方案参考，业主主导，供应商配合测试。</w:t>
            </w:r>
          </w:p>
          <w:p>
            <w:pPr>
              <w:numPr>
                <w:ilvl w:val="0"/>
                <w:numId w:val="7"/>
              </w:numPr>
              <w:pBdr>
                <w:top w:val="none" w:color="auto" w:sz="0" w:space="1"/>
                <w:left w:val="none" w:color="auto" w:sz="0" w:space="4"/>
                <w:bottom w:val="none" w:color="auto" w:sz="0" w:space="1"/>
                <w:right w:val="none" w:color="auto" w:sz="0" w:space="4"/>
              </w:pBdr>
              <w:spacing w:line="360" w:lineRule="exact"/>
              <w:rPr>
                <w:rFonts w:ascii="Arial" w:hAnsi="Arial" w:cs="Arial"/>
                <w:szCs w:val="21"/>
              </w:rPr>
            </w:pPr>
            <w:r>
              <w:rPr>
                <w:rFonts w:ascii="Arial" w:hAnsi="Arial" w:cs="Arial"/>
                <w:szCs w:val="21"/>
              </w:rPr>
              <w:t>供应商负责系统的FAT、SAT、IQ、OQ的执行并出具报告，并且这些测试在业主的监督下执行，方案需得到业主的批准。</w:t>
            </w:r>
          </w:p>
          <w:p>
            <w:pPr>
              <w:numPr>
                <w:ilvl w:val="0"/>
                <w:numId w:val="7"/>
              </w:numPr>
              <w:pBdr>
                <w:top w:val="none" w:color="auto" w:sz="0" w:space="1"/>
                <w:left w:val="none" w:color="auto" w:sz="0" w:space="4"/>
                <w:bottom w:val="none" w:color="auto" w:sz="0" w:space="1"/>
                <w:right w:val="none" w:color="auto" w:sz="0" w:space="4"/>
              </w:pBdr>
              <w:spacing w:line="360" w:lineRule="exact"/>
              <w:rPr>
                <w:rFonts w:ascii="Arial" w:hAnsi="Arial" w:cs="Arial"/>
                <w:szCs w:val="21"/>
              </w:rPr>
            </w:pPr>
            <w:r>
              <w:rPr>
                <w:rFonts w:ascii="Arial" w:hAnsi="Arial" w:cs="Arial"/>
                <w:szCs w:val="21"/>
              </w:rPr>
              <w:t>、提供专业验证工程师，现场执行相关验证文件。</w:t>
            </w:r>
          </w:p>
          <w:p>
            <w:pPr>
              <w:numPr>
                <w:ilvl w:val="0"/>
                <w:numId w:val="7"/>
              </w:numPr>
              <w:pBdr>
                <w:top w:val="none" w:color="auto" w:sz="0" w:space="1"/>
                <w:left w:val="none" w:color="auto" w:sz="0" w:space="4"/>
                <w:bottom w:val="none" w:color="auto" w:sz="0" w:space="1"/>
                <w:right w:val="none" w:color="auto" w:sz="0" w:space="4"/>
              </w:pBdr>
              <w:spacing w:line="360" w:lineRule="exact"/>
              <w:rPr>
                <w:rFonts w:ascii="Arial" w:hAnsi="Arial" w:cs="Arial"/>
                <w:szCs w:val="21"/>
              </w:rPr>
            </w:pPr>
            <w:r>
              <w:rPr>
                <w:rFonts w:ascii="Arial" w:hAnsi="Arial" w:cs="Arial"/>
                <w:szCs w:val="21"/>
              </w:rPr>
              <w:t>、工厂验收测试。</w:t>
            </w:r>
          </w:p>
          <w:p>
            <w:pPr>
              <w:numPr>
                <w:ilvl w:val="0"/>
                <w:numId w:val="7"/>
              </w:numPr>
              <w:pBdr>
                <w:top w:val="none" w:color="auto" w:sz="0" w:space="1"/>
                <w:left w:val="none" w:color="auto" w:sz="0" w:space="4"/>
                <w:bottom w:val="none" w:color="auto" w:sz="0" w:space="1"/>
                <w:right w:val="none" w:color="auto" w:sz="0" w:space="4"/>
              </w:pBdr>
              <w:spacing w:line="360" w:lineRule="exact"/>
              <w:rPr>
                <w:rFonts w:ascii="Arial" w:hAnsi="Arial" w:cs="Arial"/>
                <w:szCs w:val="21"/>
              </w:rPr>
            </w:pPr>
            <w:r>
              <w:rPr>
                <w:rFonts w:ascii="Arial" w:hAnsi="Arial" w:cs="Arial"/>
                <w:szCs w:val="21"/>
              </w:rPr>
              <w:t>、客户现场验收测试。</w:t>
            </w:r>
          </w:p>
          <w:p>
            <w:pPr>
              <w:numPr>
                <w:ilvl w:val="0"/>
                <w:numId w:val="7"/>
              </w:numPr>
              <w:pBdr>
                <w:top w:val="none" w:color="auto" w:sz="0" w:space="1"/>
                <w:left w:val="none" w:color="auto" w:sz="0" w:space="4"/>
                <w:bottom w:val="none" w:color="auto" w:sz="0" w:space="1"/>
                <w:right w:val="none" w:color="auto" w:sz="0" w:space="4"/>
              </w:pBdr>
              <w:spacing w:line="360" w:lineRule="exact"/>
              <w:rPr>
                <w:rFonts w:ascii="Arial" w:hAnsi="Arial" w:cs="Arial"/>
                <w:szCs w:val="21"/>
              </w:rPr>
            </w:pPr>
            <w:r>
              <w:rPr>
                <w:rFonts w:ascii="Arial" w:hAnsi="Arial" w:cs="Arial"/>
                <w:szCs w:val="21"/>
              </w:rPr>
              <w:t>、操作手册、维护手册、安装手册，包括但不仅限于以下内容：设备（包括软件）操作维护手册，操作面板安装操作维护手册、安全事项，故障处理等相关文件。</w:t>
            </w:r>
          </w:p>
          <w:p>
            <w:pPr>
              <w:numPr>
                <w:ilvl w:val="0"/>
                <w:numId w:val="7"/>
              </w:numPr>
              <w:pBdr>
                <w:top w:val="none" w:color="auto" w:sz="0" w:space="1"/>
                <w:left w:val="none" w:color="auto" w:sz="0" w:space="4"/>
                <w:bottom w:val="none" w:color="auto" w:sz="0" w:space="1"/>
                <w:right w:val="none" w:color="auto" w:sz="0" w:space="4"/>
              </w:pBdr>
              <w:spacing w:line="360" w:lineRule="exact"/>
              <w:rPr>
                <w:rFonts w:ascii="Arial" w:hAnsi="Arial" w:cs="Arial"/>
                <w:szCs w:val="21"/>
              </w:rPr>
            </w:pPr>
            <w:r>
              <w:rPr>
                <w:rFonts w:ascii="Arial" w:hAnsi="Arial" w:cs="Arial"/>
                <w:szCs w:val="21"/>
              </w:rPr>
              <w:t>机械文件，包括但不仅限于以下内容：部件清单，推荐备品备件清单，建议维护计划，平面布局图，电气线路图，PID图，公用设施清单，P&amp;ID图中所列其他供应商产品的技术参数简介，使用流体的安全参数表，自动门锁的操作说明等。</w:t>
            </w:r>
          </w:p>
          <w:p>
            <w:pPr>
              <w:numPr>
                <w:ilvl w:val="0"/>
                <w:numId w:val="7"/>
              </w:numPr>
              <w:pBdr>
                <w:top w:val="none" w:color="auto" w:sz="0" w:space="1"/>
                <w:left w:val="none" w:color="auto" w:sz="0" w:space="4"/>
                <w:bottom w:val="none" w:color="auto" w:sz="0" w:space="1"/>
                <w:right w:val="none" w:color="auto" w:sz="0" w:space="4"/>
              </w:pBdr>
              <w:spacing w:line="360" w:lineRule="exact"/>
              <w:rPr>
                <w:rFonts w:ascii="Arial" w:hAnsi="Arial" w:cs="Arial"/>
                <w:szCs w:val="21"/>
              </w:rPr>
            </w:pPr>
            <w:r>
              <w:rPr>
                <w:rFonts w:ascii="Arial" w:hAnsi="Arial" w:cs="Arial"/>
                <w:szCs w:val="21"/>
              </w:rPr>
              <w:t>、压力容器质量证书。</w:t>
            </w:r>
          </w:p>
          <w:p>
            <w:pPr>
              <w:numPr>
                <w:ilvl w:val="0"/>
                <w:numId w:val="7"/>
              </w:numPr>
              <w:spacing w:line="360" w:lineRule="exact"/>
              <w:rPr>
                <w:rFonts w:ascii="Arial" w:hAnsi="Arial" w:cs="Arial"/>
                <w:szCs w:val="21"/>
              </w:rPr>
            </w:pPr>
            <w:r>
              <w:rPr>
                <w:rFonts w:ascii="Arial" w:hAnsi="Arial" w:cs="Arial"/>
                <w:szCs w:val="21"/>
              </w:rPr>
              <w:t>、关键工艺部件材质报告及相关证明说明文件。</w:t>
            </w:r>
          </w:p>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10）、计量仪表和传感器出厂合格证。</w:t>
            </w:r>
          </w:p>
        </w:tc>
        <w:tc>
          <w:tcPr>
            <w:tcW w:w="1192" w:type="dxa"/>
            <w:vAlign w:val="center"/>
          </w:tcPr>
          <w:p>
            <w:pPr>
              <w:jc w:val="center"/>
              <w:rPr>
                <w:rFonts w:ascii="Arial" w:hAnsi="Arial" w:cs="Arial"/>
                <w:szCs w:val="21"/>
              </w:rPr>
            </w:pPr>
            <w:r>
              <w:rPr>
                <w:rFonts w:hint="eastAsia" w:ascii="Arial" w:hAnsi="Arial" w:cs="Arial"/>
                <w:szCs w:val="21"/>
              </w:rPr>
              <w:t>高</w:t>
            </w:r>
          </w:p>
        </w:tc>
        <w:tc>
          <w:tcPr>
            <w:tcW w:w="1251"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spacing w:before="20" w:after="20"/>
              <w:ind w:left="400"/>
              <w:rPr>
                <w:rFonts w:ascii="Arial" w:hAnsi="Arial" w:cs="Arial"/>
                <w:szCs w:val="21"/>
              </w:rPr>
            </w:pPr>
            <w:r>
              <w:rPr>
                <w:rFonts w:hint="eastAsia" w:ascii="Arial" w:hAnsi="Arial" w:cs="Arial"/>
                <w:szCs w:val="21"/>
              </w:rPr>
              <w:t>2.</w:t>
            </w:r>
          </w:p>
        </w:tc>
        <w:tc>
          <w:tcPr>
            <w:tcW w:w="6226" w:type="dxa"/>
            <w:vAlign w:val="center"/>
          </w:tcPr>
          <w:p>
            <w:pPr>
              <w:pStyle w:val="9"/>
              <w:tabs>
                <w:tab w:val="center" w:pos="4320"/>
                <w:tab w:val="right" w:pos="8640"/>
                <w:tab w:val="clear" w:pos="4153"/>
                <w:tab w:val="clear" w:pos="8306"/>
              </w:tabs>
              <w:spacing w:before="20" w:after="20"/>
              <w:jc w:val="both"/>
              <w:rPr>
                <w:rFonts w:ascii="Arial" w:hAnsi="Arial" w:cs="Arial"/>
                <w:sz w:val="21"/>
                <w:szCs w:val="21"/>
              </w:rPr>
            </w:pPr>
            <w:r>
              <w:rPr>
                <w:rFonts w:ascii="Arial" w:hAnsi="Arial" w:cs="Arial"/>
                <w:sz w:val="21"/>
                <w:szCs w:val="21"/>
              </w:rPr>
              <w:t>供应商负责系统的FAT、SAT、IQ、OQ的执行并出具报告，并且这些测试在我司的监督下执行，方案需得到我司的批准。</w:t>
            </w:r>
          </w:p>
        </w:tc>
        <w:tc>
          <w:tcPr>
            <w:tcW w:w="1192" w:type="dxa"/>
            <w:vAlign w:val="center"/>
          </w:tcPr>
          <w:p>
            <w:pPr>
              <w:jc w:val="center"/>
              <w:rPr>
                <w:rFonts w:ascii="Arial" w:hAnsi="Arial" w:cs="Arial"/>
                <w:szCs w:val="21"/>
              </w:rPr>
            </w:pPr>
            <w:r>
              <w:rPr>
                <w:rFonts w:hint="eastAsia" w:ascii="Arial" w:hAnsi="Arial" w:cs="Arial"/>
                <w:szCs w:val="21"/>
              </w:rPr>
              <w:t>高</w:t>
            </w:r>
          </w:p>
        </w:tc>
        <w:tc>
          <w:tcPr>
            <w:tcW w:w="1251"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865" w:type="dxa"/>
            <w:gridSpan w:val="4"/>
            <w:shd w:val="clear" w:color="auto" w:fill="BEBEBE"/>
            <w:vAlign w:val="center"/>
          </w:tcPr>
          <w:p>
            <w:pPr>
              <w:pStyle w:val="4"/>
              <w:numPr>
                <w:ilvl w:val="2"/>
                <w:numId w:val="0"/>
              </w:numPr>
              <w:rPr>
                <w:rFonts w:ascii="Arial" w:hAnsi="Arial" w:eastAsia="宋体" w:cs="Arial"/>
                <w:szCs w:val="21"/>
              </w:rPr>
            </w:pPr>
            <w:r>
              <w:rPr>
                <w:rFonts w:hint="eastAsia" w:ascii="Arial" w:hAnsi="Arial" w:eastAsia="宋体" w:cs="Arial"/>
                <w:szCs w:val="21"/>
              </w:rPr>
              <w:t>备品零件要求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spacing w:before="20" w:after="20"/>
              <w:ind w:left="400"/>
              <w:rPr>
                <w:rFonts w:ascii="Arial" w:hAnsi="Arial" w:cs="Arial"/>
                <w:szCs w:val="21"/>
              </w:rPr>
            </w:pPr>
            <w:r>
              <w:rPr>
                <w:rFonts w:hint="eastAsia" w:ascii="Arial" w:hAnsi="Arial" w:cs="Arial"/>
                <w:szCs w:val="21"/>
              </w:rPr>
              <w:t>3.</w:t>
            </w:r>
          </w:p>
        </w:tc>
        <w:tc>
          <w:tcPr>
            <w:tcW w:w="6226" w:type="dxa"/>
            <w:vAlign w:val="center"/>
          </w:tcPr>
          <w:p>
            <w:pPr>
              <w:pStyle w:val="9"/>
              <w:tabs>
                <w:tab w:val="center" w:pos="240"/>
                <w:tab w:val="center" w:pos="480"/>
                <w:tab w:val="center" w:pos="4320"/>
                <w:tab w:val="right" w:pos="8640"/>
              </w:tabs>
              <w:spacing w:before="20" w:after="20"/>
              <w:jc w:val="both"/>
              <w:rPr>
                <w:rFonts w:ascii="Arial" w:hAnsi="Arial" w:cs="Arial"/>
                <w:sz w:val="21"/>
                <w:szCs w:val="21"/>
              </w:rPr>
            </w:pPr>
            <w:r>
              <w:rPr>
                <w:rFonts w:ascii="Arial" w:hAnsi="Arial" w:cs="Arial"/>
                <w:sz w:val="21"/>
                <w:szCs w:val="21"/>
              </w:rPr>
              <w:t>供应商应随机提供设备操作或检修所用专用工具一套。</w:t>
            </w:r>
            <w:r>
              <w:rPr>
                <w:rFonts w:hint="eastAsia" w:ascii="Arial" w:hAnsi="Arial" w:cs="Arial"/>
                <w:sz w:val="21"/>
                <w:szCs w:val="21"/>
              </w:rPr>
              <w:t>并提供完整的使用工具清单。</w:t>
            </w:r>
          </w:p>
        </w:tc>
        <w:tc>
          <w:tcPr>
            <w:tcW w:w="1192" w:type="dxa"/>
            <w:vAlign w:val="center"/>
          </w:tcPr>
          <w:p>
            <w:pPr>
              <w:jc w:val="center"/>
              <w:rPr>
                <w:rFonts w:ascii="Arial" w:hAnsi="Arial" w:cs="Arial"/>
                <w:szCs w:val="21"/>
              </w:rPr>
            </w:pPr>
            <w:r>
              <w:rPr>
                <w:rFonts w:hint="eastAsia" w:ascii="Arial" w:hAnsi="Arial" w:cs="Arial"/>
                <w:szCs w:val="21"/>
              </w:rPr>
              <w:t>高</w:t>
            </w:r>
          </w:p>
        </w:tc>
        <w:tc>
          <w:tcPr>
            <w:tcW w:w="1251"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spacing w:before="20" w:after="20"/>
              <w:ind w:left="400"/>
              <w:rPr>
                <w:rFonts w:ascii="Arial" w:hAnsi="Arial" w:cs="Arial"/>
                <w:szCs w:val="21"/>
              </w:rPr>
            </w:pPr>
            <w:r>
              <w:rPr>
                <w:rFonts w:hint="eastAsia" w:ascii="Arial" w:hAnsi="Arial" w:cs="Arial"/>
                <w:szCs w:val="21"/>
              </w:rPr>
              <w:t>4.</w:t>
            </w:r>
          </w:p>
        </w:tc>
        <w:tc>
          <w:tcPr>
            <w:tcW w:w="6226" w:type="dxa"/>
            <w:vAlign w:val="center"/>
          </w:tcPr>
          <w:p>
            <w:pPr>
              <w:pStyle w:val="9"/>
              <w:tabs>
                <w:tab w:val="center" w:pos="240"/>
                <w:tab w:val="center" w:pos="480"/>
                <w:tab w:val="center" w:pos="4320"/>
                <w:tab w:val="right" w:pos="8640"/>
              </w:tabs>
              <w:spacing w:before="20" w:after="20"/>
              <w:jc w:val="both"/>
              <w:rPr>
                <w:rFonts w:ascii="Arial" w:hAnsi="Arial" w:cs="Arial"/>
                <w:sz w:val="21"/>
                <w:szCs w:val="21"/>
              </w:rPr>
            </w:pPr>
            <w:r>
              <w:rPr>
                <w:rFonts w:ascii="Arial" w:hAnsi="Arial" w:cs="Arial"/>
                <w:sz w:val="21"/>
                <w:szCs w:val="21"/>
              </w:rPr>
              <w:t>供应商应随机提供润滑油的品牌。</w:t>
            </w:r>
          </w:p>
        </w:tc>
        <w:tc>
          <w:tcPr>
            <w:tcW w:w="1192" w:type="dxa"/>
            <w:vAlign w:val="center"/>
          </w:tcPr>
          <w:p>
            <w:pPr>
              <w:jc w:val="center"/>
              <w:rPr>
                <w:rFonts w:ascii="Arial" w:hAnsi="Arial" w:cs="Arial"/>
                <w:szCs w:val="21"/>
              </w:rPr>
            </w:pPr>
            <w:r>
              <w:rPr>
                <w:rFonts w:hint="eastAsia" w:ascii="Arial" w:hAnsi="Arial" w:cs="Arial"/>
                <w:szCs w:val="21"/>
              </w:rPr>
              <w:t>高</w:t>
            </w:r>
          </w:p>
        </w:tc>
        <w:tc>
          <w:tcPr>
            <w:tcW w:w="1251" w:type="dxa"/>
            <w:vAlign w:val="center"/>
          </w:tcPr>
          <w:p>
            <w:pPr>
              <w:spacing w:before="20" w:after="20"/>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96" w:type="dxa"/>
            <w:vAlign w:val="center"/>
          </w:tcPr>
          <w:p>
            <w:pPr>
              <w:spacing w:before="20" w:after="20"/>
              <w:ind w:left="400"/>
              <w:rPr>
                <w:rFonts w:ascii="Arial" w:hAnsi="Arial" w:cs="Arial"/>
                <w:szCs w:val="21"/>
              </w:rPr>
            </w:pPr>
            <w:r>
              <w:rPr>
                <w:rFonts w:hint="eastAsia" w:ascii="Arial" w:hAnsi="Arial" w:cs="Arial"/>
                <w:szCs w:val="21"/>
              </w:rPr>
              <w:t>5.</w:t>
            </w:r>
          </w:p>
        </w:tc>
        <w:tc>
          <w:tcPr>
            <w:tcW w:w="6226" w:type="dxa"/>
            <w:vAlign w:val="center"/>
          </w:tcPr>
          <w:p>
            <w:pPr>
              <w:pStyle w:val="9"/>
              <w:tabs>
                <w:tab w:val="center" w:pos="240"/>
                <w:tab w:val="center" w:pos="480"/>
                <w:tab w:val="center" w:pos="4320"/>
                <w:tab w:val="right" w:pos="8640"/>
              </w:tabs>
              <w:spacing w:before="20" w:after="20"/>
              <w:jc w:val="both"/>
              <w:rPr>
                <w:rFonts w:ascii="Arial" w:hAnsi="Arial" w:cs="Arial"/>
                <w:sz w:val="21"/>
                <w:szCs w:val="21"/>
              </w:rPr>
            </w:pPr>
            <w:r>
              <w:rPr>
                <w:rFonts w:ascii="Arial" w:hAnsi="Arial" w:cs="Arial"/>
                <w:sz w:val="21"/>
                <w:szCs w:val="21"/>
              </w:rPr>
              <w:t>供应商应提供设备所需易损件清单，并随设备提供质保期内易损坏备品、零件一套。</w:t>
            </w:r>
          </w:p>
        </w:tc>
        <w:tc>
          <w:tcPr>
            <w:tcW w:w="1192" w:type="dxa"/>
            <w:vAlign w:val="center"/>
          </w:tcPr>
          <w:p>
            <w:pPr>
              <w:jc w:val="center"/>
              <w:rPr>
                <w:rFonts w:ascii="Arial" w:hAnsi="Arial" w:cs="Arial"/>
                <w:szCs w:val="21"/>
              </w:rPr>
            </w:pPr>
            <w:r>
              <w:rPr>
                <w:rFonts w:hint="eastAsia" w:ascii="Arial" w:hAnsi="Arial" w:cs="Arial"/>
                <w:szCs w:val="21"/>
              </w:rPr>
              <w:t>高</w:t>
            </w:r>
          </w:p>
        </w:tc>
        <w:tc>
          <w:tcPr>
            <w:tcW w:w="1251" w:type="dxa"/>
            <w:vAlign w:val="center"/>
          </w:tcPr>
          <w:p>
            <w:pPr>
              <w:spacing w:before="20" w:after="20"/>
              <w:rPr>
                <w:rFonts w:ascii="Arial" w:hAnsi="Arial" w:cs="Arial"/>
                <w:szCs w:val="21"/>
              </w:rPr>
            </w:pPr>
          </w:p>
        </w:tc>
      </w:tr>
    </w:tbl>
    <w:p>
      <w:pPr>
        <w:pStyle w:val="21"/>
        <w:ind w:firstLine="0" w:firstLineChars="0"/>
        <w:rPr>
          <w:rFonts w:ascii="仿宋" w:hAnsi="仿宋" w:eastAsia="仿宋"/>
          <w:b/>
          <w:sz w:val="32"/>
          <w:szCs w:val="28"/>
        </w:rPr>
      </w:pPr>
    </w:p>
    <w:p>
      <w:pPr>
        <w:pStyle w:val="21"/>
        <w:numPr>
          <w:ilvl w:val="0"/>
          <w:numId w:val="3"/>
        </w:numPr>
        <w:ind w:firstLineChars="0"/>
        <w:rPr>
          <w:rFonts w:ascii="仿宋" w:hAnsi="仿宋" w:eastAsia="仿宋"/>
          <w:b/>
          <w:sz w:val="32"/>
          <w:szCs w:val="28"/>
        </w:rPr>
      </w:pPr>
      <w:r>
        <w:rPr>
          <w:rFonts w:hint="eastAsia" w:ascii="仿宋" w:hAnsi="仿宋" w:eastAsia="仿宋"/>
          <w:b/>
          <w:sz w:val="32"/>
          <w:szCs w:val="28"/>
        </w:rPr>
        <w:t>售后服务要求</w:t>
      </w:r>
    </w:p>
    <w:p>
      <w:pPr>
        <w:widowControl/>
        <w:shd w:val="clear" w:color="auto" w:fill="FFFFFF"/>
        <w:spacing w:before="100" w:beforeAutospacing="1" w:after="100" w:afterAutospacing="1"/>
        <w:ind w:firstLine="560" w:firstLineChars="200"/>
        <w:rPr>
          <w:rFonts w:ascii="仿宋" w:hAnsi="仿宋" w:eastAsia="仿宋"/>
          <w:sz w:val="28"/>
          <w:szCs w:val="21"/>
        </w:rPr>
      </w:pPr>
      <w:r>
        <w:rPr>
          <w:rFonts w:hint="eastAsia" w:ascii="仿宋" w:hAnsi="仿宋" w:eastAsia="仿宋"/>
          <w:sz w:val="28"/>
          <w:szCs w:val="21"/>
        </w:rPr>
        <w:t>设备到达目的地时，投标人应派有经验的技术人员到现场进行安装调试，直至验收完成。</w:t>
      </w:r>
    </w:p>
    <w:p>
      <w:pPr>
        <w:widowControl/>
        <w:shd w:val="clear" w:color="auto" w:fill="FFFFFF"/>
        <w:spacing w:before="100" w:beforeAutospacing="1" w:after="100" w:afterAutospacing="1"/>
        <w:ind w:firstLine="560" w:firstLineChars="200"/>
        <w:rPr>
          <w:rFonts w:ascii="仿宋" w:hAnsi="仿宋" w:eastAsia="仿宋"/>
          <w:sz w:val="28"/>
          <w:szCs w:val="21"/>
        </w:rPr>
      </w:pPr>
      <w:r>
        <w:rPr>
          <w:rFonts w:hint="eastAsia" w:ascii="仿宋" w:hAnsi="仿宋" w:eastAsia="仿宋"/>
          <w:sz w:val="28"/>
          <w:szCs w:val="21"/>
        </w:rPr>
        <w:t>在设备安装调试期间，投标人负责对操作人员和维修人员2-3人进行现场免费培训，培训至操作人员能熟练操作为止。培训方案中明确各功能系统的培训内容、培训时间以及培训效果的验证方法。</w:t>
      </w:r>
    </w:p>
    <w:p>
      <w:pPr>
        <w:widowControl/>
        <w:shd w:val="clear" w:color="auto" w:fill="FFFFFF"/>
        <w:spacing w:before="100" w:beforeAutospacing="1" w:after="100" w:afterAutospacing="1"/>
        <w:ind w:firstLine="560" w:firstLineChars="200"/>
        <w:rPr>
          <w:rFonts w:ascii="仿宋" w:hAnsi="仿宋" w:eastAsia="仿宋"/>
          <w:sz w:val="28"/>
          <w:szCs w:val="21"/>
        </w:rPr>
      </w:pPr>
      <w:r>
        <w:rPr>
          <w:rFonts w:hint="eastAsia" w:ascii="仿宋" w:hAnsi="仿宋" w:eastAsia="仿宋"/>
          <w:sz w:val="28"/>
          <w:szCs w:val="21"/>
        </w:rPr>
        <w:t>投标人要有良好的售后服务。报价文件中提供售后服务承诺方案。</w:t>
      </w:r>
    </w:p>
    <w:p>
      <w:pPr>
        <w:widowControl/>
        <w:shd w:val="clear" w:color="auto" w:fill="FFFFFF"/>
        <w:spacing w:before="100" w:beforeAutospacing="1" w:after="100" w:afterAutospacing="1"/>
        <w:ind w:firstLine="560" w:firstLineChars="200"/>
        <w:rPr>
          <w:rFonts w:ascii="仿宋" w:hAnsi="仿宋" w:eastAsia="仿宋"/>
          <w:sz w:val="28"/>
          <w:szCs w:val="21"/>
        </w:rPr>
      </w:pPr>
      <w:r>
        <w:rPr>
          <w:rFonts w:hint="eastAsia" w:ascii="仿宋" w:hAnsi="仿宋" w:eastAsia="仿宋"/>
          <w:sz w:val="28"/>
          <w:szCs w:val="21"/>
        </w:rPr>
        <w:t>所提供设备的电气元部件及系统应保证安全、实用并运转灵敏、平稳、可靠，电气、动力系统具有连续、正常工作的特性。</w:t>
      </w:r>
    </w:p>
    <w:p>
      <w:pPr>
        <w:pStyle w:val="21"/>
        <w:numPr>
          <w:ilvl w:val="0"/>
          <w:numId w:val="3"/>
        </w:numPr>
        <w:ind w:firstLineChars="0"/>
        <w:rPr>
          <w:rFonts w:ascii="仿宋" w:hAnsi="仿宋" w:eastAsia="仿宋"/>
          <w:b/>
          <w:sz w:val="32"/>
          <w:szCs w:val="28"/>
        </w:rPr>
      </w:pPr>
      <w:r>
        <w:rPr>
          <w:rFonts w:hint="eastAsia" w:ascii="仿宋" w:hAnsi="仿宋" w:eastAsia="仿宋"/>
          <w:b/>
          <w:sz w:val="32"/>
          <w:szCs w:val="28"/>
        </w:rPr>
        <w:t>施工组织及质量保证措施</w:t>
      </w:r>
    </w:p>
    <w:p>
      <w:pPr>
        <w:widowControl/>
        <w:shd w:val="clear" w:color="auto" w:fill="FFFFFF"/>
        <w:spacing w:before="100" w:beforeAutospacing="1" w:after="100" w:afterAutospacing="1"/>
        <w:ind w:firstLine="560" w:firstLineChars="200"/>
        <w:rPr>
          <w:rFonts w:ascii="仿宋" w:hAnsi="仿宋" w:eastAsia="仿宋"/>
          <w:sz w:val="28"/>
          <w:szCs w:val="21"/>
        </w:rPr>
      </w:pPr>
      <w:r>
        <w:rPr>
          <w:rFonts w:hint="eastAsia" w:ascii="仿宋" w:hAnsi="仿宋" w:eastAsia="仿宋"/>
          <w:sz w:val="28"/>
          <w:szCs w:val="21"/>
        </w:rPr>
        <w:t>设备质量保证：投标人投标文件中必须体现设备生产制造，安装质量检查方案。</w:t>
      </w:r>
    </w:p>
    <w:p>
      <w:pPr>
        <w:widowControl/>
        <w:shd w:val="clear" w:color="auto" w:fill="FFFFFF"/>
        <w:spacing w:before="100" w:beforeAutospacing="1" w:after="100" w:afterAutospacing="1"/>
        <w:ind w:firstLine="560" w:firstLineChars="200"/>
        <w:rPr>
          <w:rFonts w:ascii="仿宋" w:hAnsi="仿宋" w:eastAsia="仿宋"/>
          <w:sz w:val="28"/>
          <w:szCs w:val="21"/>
        </w:rPr>
      </w:pPr>
      <w:r>
        <w:rPr>
          <w:rFonts w:hint="eastAsia" w:ascii="仿宋" w:hAnsi="仿宋" w:eastAsia="仿宋"/>
          <w:sz w:val="28"/>
          <w:szCs w:val="21"/>
        </w:rPr>
        <w:t>施工安全：投标人投标文件中体现设备施工现场安全文明管理办法，配备安全员督导施工现场，有紧急情况的处理能力的文件。</w:t>
      </w:r>
    </w:p>
    <w:p>
      <w:pPr>
        <w:widowControl/>
        <w:shd w:val="clear" w:color="auto" w:fill="FFFFFF"/>
        <w:spacing w:before="100" w:beforeAutospacing="1" w:after="100" w:afterAutospacing="1"/>
        <w:ind w:firstLine="560" w:firstLineChars="200"/>
        <w:rPr>
          <w:rFonts w:ascii="仿宋" w:hAnsi="仿宋" w:eastAsia="仿宋"/>
          <w:sz w:val="28"/>
          <w:szCs w:val="21"/>
        </w:rPr>
      </w:pPr>
      <w:r>
        <w:rPr>
          <w:rFonts w:hint="eastAsia" w:ascii="仿宋" w:hAnsi="仿宋" w:eastAsia="仿宋"/>
          <w:sz w:val="28"/>
          <w:szCs w:val="21"/>
        </w:rPr>
        <w:t>施工项目管理机构及人员配备：投标文件中必须体现施工项目管理机构图，人员分配及主要工作职责。</w:t>
      </w:r>
    </w:p>
    <w:p>
      <w:pPr>
        <w:rPr>
          <w:rFonts w:ascii="仿宋" w:hAnsi="仿宋" w:eastAsia="仿宋" w:cs="宋体"/>
          <w:color w:val="000000" w:themeColor="text1"/>
          <w:kern w:val="0"/>
          <w:sz w:val="28"/>
          <w:szCs w:val="28"/>
          <w14:textFill>
            <w14:solidFill>
              <w14:schemeClr w14:val="tx1"/>
            </w14:solidFill>
          </w14:textFill>
        </w:rPr>
      </w:pPr>
    </w:p>
    <w:p>
      <w:pPr>
        <w:spacing w:line="360" w:lineRule="auto"/>
        <w:ind w:firstLine="480" w:firstLineChars="200"/>
        <w:jc w:val="left"/>
        <w:rPr>
          <w:rFonts w:ascii="宋体" w:hAnsi="宋体"/>
          <w:color w:val="000000" w:themeColor="text1"/>
          <w:sz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B43A70"/>
    <w:multiLevelType w:val="singleLevel"/>
    <w:tmpl w:val="A7B43A70"/>
    <w:lvl w:ilvl="0" w:tentative="0">
      <w:start w:val="1"/>
      <w:numFmt w:val="decimal"/>
      <w:suff w:val="nothing"/>
      <w:lvlText w:val="%1）"/>
      <w:lvlJc w:val="left"/>
    </w:lvl>
  </w:abstractNum>
  <w:abstractNum w:abstractNumId="1">
    <w:nsid w:val="B1A5AE23"/>
    <w:multiLevelType w:val="singleLevel"/>
    <w:tmpl w:val="B1A5AE23"/>
    <w:lvl w:ilvl="0" w:tentative="0">
      <w:start w:val="1"/>
      <w:numFmt w:val="decimal"/>
      <w:suff w:val="nothing"/>
      <w:lvlText w:val="%1．"/>
      <w:lvlJc w:val="left"/>
      <w:pPr>
        <w:ind w:left="0" w:firstLine="400"/>
      </w:pPr>
      <w:rPr>
        <w:rFonts w:hint="default"/>
      </w:rPr>
    </w:lvl>
  </w:abstractNum>
  <w:abstractNum w:abstractNumId="2">
    <w:nsid w:val="ECE8DB26"/>
    <w:multiLevelType w:val="multilevel"/>
    <w:tmpl w:val="ECE8DB26"/>
    <w:lvl w:ilvl="0" w:tentative="0">
      <w:start w:val="1"/>
      <w:numFmt w:val="decimal"/>
      <w:lvlText w:val="%1."/>
      <w:lvlJc w:val="left"/>
      <w:pPr>
        <w:ind w:left="1062" w:hanging="432"/>
      </w:pPr>
      <w:rPr>
        <w:rFonts w:hint="default"/>
      </w:rPr>
    </w:lvl>
    <w:lvl w:ilvl="1" w:tentative="0">
      <w:start w:val="1"/>
      <w:numFmt w:val="decimal"/>
      <w:pStyle w:val="2"/>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
    <w:nsid w:val="06F474AA"/>
    <w:multiLevelType w:val="multilevel"/>
    <w:tmpl w:val="06F474AA"/>
    <w:lvl w:ilvl="0" w:tentative="0">
      <w:start w:val="1"/>
      <w:numFmt w:val="bullet"/>
      <w:lvlText w:val=""/>
      <w:lvlJc w:val="left"/>
      <w:pPr>
        <w:tabs>
          <w:tab w:val="left" w:pos="0"/>
        </w:tabs>
        <w:ind w:left="1287" w:hanging="360"/>
      </w:pPr>
      <w:rPr>
        <w:rFonts w:hint="default" w:ascii="Symbol" w:hAnsi="Symbol"/>
      </w:rPr>
    </w:lvl>
    <w:lvl w:ilvl="1" w:tentative="0">
      <w:start w:val="1"/>
      <w:numFmt w:val="bullet"/>
      <w:lvlText w:val="o"/>
      <w:lvlJc w:val="left"/>
      <w:pPr>
        <w:tabs>
          <w:tab w:val="left" w:pos="0"/>
        </w:tabs>
        <w:ind w:left="2007" w:hanging="360"/>
      </w:pPr>
      <w:rPr>
        <w:rFonts w:hint="default" w:ascii="Courier New" w:hAnsi="Courier New"/>
      </w:rPr>
    </w:lvl>
    <w:lvl w:ilvl="2" w:tentative="0">
      <w:start w:val="1"/>
      <w:numFmt w:val="bullet"/>
      <w:lvlText w:val=""/>
      <w:lvlJc w:val="left"/>
      <w:pPr>
        <w:tabs>
          <w:tab w:val="left" w:pos="0"/>
        </w:tabs>
        <w:ind w:left="2727" w:hanging="360"/>
      </w:pPr>
      <w:rPr>
        <w:rFonts w:hint="default" w:ascii="Wingdings" w:hAnsi="Wingdings"/>
      </w:rPr>
    </w:lvl>
    <w:lvl w:ilvl="3" w:tentative="0">
      <w:start w:val="1"/>
      <w:numFmt w:val="bullet"/>
      <w:lvlText w:val=""/>
      <w:lvlJc w:val="left"/>
      <w:pPr>
        <w:tabs>
          <w:tab w:val="left" w:pos="0"/>
        </w:tabs>
        <w:ind w:left="3447" w:hanging="360"/>
      </w:pPr>
      <w:rPr>
        <w:rFonts w:hint="default" w:ascii="Symbol" w:hAnsi="Symbol"/>
      </w:rPr>
    </w:lvl>
    <w:lvl w:ilvl="4" w:tentative="0">
      <w:start w:val="1"/>
      <w:numFmt w:val="bullet"/>
      <w:lvlText w:val="o"/>
      <w:lvlJc w:val="left"/>
      <w:pPr>
        <w:tabs>
          <w:tab w:val="left" w:pos="0"/>
        </w:tabs>
        <w:ind w:left="4167" w:hanging="360"/>
      </w:pPr>
      <w:rPr>
        <w:rFonts w:hint="default" w:ascii="Courier New" w:hAnsi="Courier New"/>
      </w:rPr>
    </w:lvl>
    <w:lvl w:ilvl="5" w:tentative="0">
      <w:start w:val="1"/>
      <w:numFmt w:val="bullet"/>
      <w:lvlText w:val=""/>
      <w:lvlJc w:val="left"/>
      <w:pPr>
        <w:tabs>
          <w:tab w:val="left" w:pos="0"/>
        </w:tabs>
        <w:ind w:left="4887" w:hanging="360"/>
      </w:pPr>
      <w:rPr>
        <w:rFonts w:hint="default" w:ascii="Wingdings" w:hAnsi="Wingdings"/>
      </w:rPr>
    </w:lvl>
    <w:lvl w:ilvl="6" w:tentative="0">
      <w:start w:val="1"/>
      <w:numFmt w:val="bullet"/>
      <w:lvlText w:val=""/>
      <w:lvlJc w:val="left"/>
      <w:pPr>
        <w:tabs>
          <w:tab w:val="left" w:pos="0"/>
        </w:tabs>
        <w:ind w:left="5607" w:hanging="360"/>
      </w:pPr>
      <w:rPr>
        <w:rFonts w:hint="default" w:ascii="Symbol" w:hAnsi="Symbol"/>
      </w:rPr>
    </w:lvl>
    <w:lvl w:ilvl="7" w:tentative="0">
      <w:start w:val="1"/>
      <w:numFmt w:val="bullet"/>
      <w:lvlText w:val="o"/>
      <w:lvlJc w:val="left"/>
      <w:pPr>
        <w:tabs>
          <w:tab w:val="left" w:pos="0"/>
        </w:tabs>
        <w:ind w:left="6327" w:hanging="360"/>
      </w:pPr>
      <w:rPr>
        <w:rFonts w:hint="default" w:ascii="Courier New" w:hAnsi="Courier New"/>
      </w:rPr>
    </w:lvl>
    <w:lvl w:ilvl="8" w:tentative="0">
      <w:start w:val="1"/>
      <w:numFmt w:val="bullet"/>
      <w:lvlText w:val=""/>
      <w:lvlJc w:val="left"/>
      <w:pPr>
        <w:tabs>
          <w:tab w:val="left" w:pos="0"/>
        </w:tabs>
        <w:ind w:left="7047" w:hanging="360"/>
      </w:pPr>
      <w:rPr>
        <w:rFonts w:hint="default" w:ascii="Wingdings" w:hAnsi="Wingdings"/>
      </w:rPr>
    </w:lvl>
  </w:abstractNum>
  <w:abstractNum w:abstractNumId="4">
    <w:nsid w:val="23FF37F1"/>
    <w:multiLevelType w:val="multilevel"/>
    <w:tmpl w:val="23FF37F1"/>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56AE1977"/>
    <w:multiLevelType w:val="multilevel"/>
    <w:tmpl w:val="56AE1977"/>
    <w:lvl w:ilvl="0" w:tentative="0">
      <w:start w:val="1"/>
      <w:numFmt w:val="chineseCountingThousand"/>
      <w:lvlText w:val="%1、"/>
      <w:lvlJc w:val="left"/>
      <w:pPr>
        <w:ind w:left="420" w:hanging="420"/>
      </w:pPr>
      <w:rPr>
        <w:rFonts w:ascii="仿宋" w:hAnsi="仿宋" w:eastAsia="仿宋"/>
        <w:b/>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B498A39"/>
    <w:multiLevelType w:val="multilevel"/>
    <w:tmpl w:val="6B498A39"/>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2"/>
  </w:num>
  <w:num w:numId="2">
    <w:abstractNumId w:val="6"/>
  </w:num>
  <w:num w:numId="3">
    <w:abstractNumId w:val="5"/>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OTQxYzhjODMyMDAzZmE0MDJkMWFkNmJlNDkwYTUifQ=="/>
  </w:docVars>
  <w:rsids>
    <w:rsidRoot w:val="000F4331"/>
    <w:rsid w:val="00037CED"/>
    <w:rsid w:val="00094AA9"/>
    <w:rsid w:val="000A38E6"/>
    <w:rsid w:val="000F2041"/>
    <w:rsid w:val="000F4331"/>
    <w:rsid w:val="00100FC3"/>
    <w:rsid w:val="00104517"/>
    <w:rsid w:val="00104958"/>
    <w:rsid w:val="0010548F"/>
    <w:rsid w:val="00106509"/>
    <w:rsid w:val="00124784"/>
    <w:rsid w:val="00125794"/>
    <w:rsid w:val="00127F5B"/>
    <w:rsid w:val="00130224"/>
    <w:rsid w:val="00151D34"/>
    <w:rsid w:val="00173167"/>
    <w:rsid w:val="00192756"/>
    <w:rsid w:val="001A20B8"/>
    <w:rsid w:val="001B5262"/>
    <w:rsid w:val="001B6352"/>
    <w:rsid w:val="001B63FF"/>
    <w:rsid w:val="001F0AEB"/>
    <w:rsid w:val="002036C8"/>
    <w:rsid w:val="002054E7"/>
    <w:rsid w:val="0021010E"/>
    <w:rsid w:val="0024228C"/>
    <w:rsid w:val="00247B27"/>
    <w:rsid w:val="002543B2"/>
    <w:rsid w:val="002F6A89"/>
    <w:rsid w:val="00313269"/>
    <w:rsid w:val="00333E09"/>
    <w:rsid w:val="00382029"/>
    <w:rsid w:val="0038487B"/>
    <w:rsid w:val="003B6EF3"/>
    <w:rsid w:val="003C618B"/>
    <w:rsid w:val="003D34E2"/>
    <w:rsid w:val="003E628D"/>
    <w:rsid w:val="003E7D0D"/>
    <w:rsid w:val="003E7D84"/>
    <w:rsid w:val="003F15C4"/>
    <w:rsid w:val="003F2C2A"/>
    <w:rsid w:val="003F4823"/>
    <w:rsid w:val="003F673A"/>
    <w:rsid w:val="0041481A"/>
    <w:rsid w:val="00421890"/>
    <w:rsid w:val="0042220A"/>
    <w:rsid w:val="0042794D"/>
    <w:rsid w:val="0044020D"/>
    <w:rsid w:val="00450924"/>
    <w:rsid w:val="004631BA"/>
    <w:rsid w:val="00467241"/>
    <w:rsid w:val="00470BF9"/>
    <w:rsid w:val="004A1842"/>
    <w:rsid w:val="004B42CB"/>
    <w:rsid w:val="004C0426"/>
    <w:rsid w:val="004C38AE"/>
    <w:rsid w:val="004E5075"/>
    <w:rsid w:val="004F2AFB"/>
    <w:rsid w:val="0054222B"/>
    <w:rsid w:val="00561097"/>
    <w:rsid w:val="00562ED1"/>
    <w:rsid w:val="00571DD5"/>
    <w:rsid w:val="005831E4"/>
    <w:rsid w:val="005B4E6A"/>
    <w:rsid w:val="005B5F50"/>
    <w:rsid w:val="005D3EA3"/>
    <w:rsid w:val="005D6697"/>
    <w:rsid w:val="00600D64"/>
    <w:rsid w:val="00601D16"/>
    <w:rsid w:val="00646C08"/>
    <w:rsid w:val="00666EE6"/>
    <w:rsid w:val="00667FF2"/>
    <w:rsid w:val="00671957"/>
    <w:rsid w:val="00694261"/>
    <w:rsid w:val="00694F81"/>
    <w:rsid w:val="00697DB1"/>
    <w:rsid w:val="006A1A9F"/>
    <w:rsid w:val="006B6C3A"/>
    <w:rsid w:val="006C345F"/>
    <w:rsid w:val="006C36AA"/>
    <w:rsid w:val="006F5A78"/>
    <w:rsid w:val="00700A90"/>
    <w:rsid w:val="007020E9"/>
    <w:rsid w:val="007039DA"/>
    <w:rsid w:val="00727111"/>
    <w:rsid w:val="007353B3"/>
    <w:rsid w:val="007427C5"/>
    <w:rsid w:val="00755AE3"/>
    <w:rsid w:val="007D086B"/>
    <w:rsid w:val="007D0A9E"/>
    <w:rsid w:val="007E1C47"/>
    <w:rsid w:val="007F2F7C"/>
    <w:rsid w:val="007F344C"/>
    <w:rsid w:val="008107ED"/>
    <w:rsid w:val="00811A78"/>
    <w:rsid w:val="00814077"/>
    <w:rsid w:val="00817A73"/>
    <w:rsid w:val="0082709A"/>
    <w:rsid w:val="00891274"/>
    <w:rsid w:val="008B242D"/>
    <w:rsid w:val="008B3470"/>
    <w:rsid w:val="008B3925"/>
    <w:rsid w:val="009013B8"/>
    <w:rsid w:val="00910DDD"/>
    <w:rsid w:val="009177A4"/>
    <w:rsid w:val="00917877"/>
    <w:rsid w:val="00964DED"/>
    <w:rsid w:val="0098008C"/>
    <w:rsid w:val="00984188"/>
    <w:rsid w:val="0098500F"/>
    <w:rsid w:val="009A53E0"/>
    <w:rsid w:val="009A77D5"/>
    <w:rsid w:val="009B16EB"/>
    <w:rsid w:val="009B3B69"/>
    <w:rsid w:val="009C0E42"/>
    <w:rsid w:val="009E0A16"/>
    <w:rsid w:val="009F4C2C"/>
    <w:rsid w:val="00A1596F"/>
    <w:rsid w:val="00A32F74"/>
    <w:rsid w:val="00A42879"/>
    <w:rsid w:val="00A8511D"/>
    <w:rsid w:val="00A905E1"/>
    <w:rsid w:val="00AB0FAE"/>
    <w:rsid w:val="00AB1958"/>
    <w:rsid w:val="00AB418C"/>
    <w:rsid w:val="00AC49D0"/>
    <w:rsid w:val="00AD0824"/>
    <w:rsid w:val="00AD3C01"/>
    <w:rsid w:val="00AE2884"/>
    <w:rsid w:val="00AF61E6"/>
    <w:rsid w:val="00AF67C7"/>
    <w:rsid w:val="00B015D6"/>
    <w:rsid w:val="00B058DF"/>
    <w:rsid w:val="00B131EB"/>
    <w:rsid w:val="00B1349B"/>
    <w:rsid w:val="00B3033E"/>
    <w:rsid w:val="00B97536"/>
    <w:rsid w:val="00BB208A"/>
    <w:rsid w:val="00BB598C"/>
    <w:rsid w:val="00BB7A82"/>
    <w:rsid w:val="00BC2293"/>
    <w:rsid w:val="00BD436A"/>
    <w:rsid w:val="00BE0815"/>
    <w:rsid w:val="00BF31D2"/>
    <w:rsid w:val="00C14088"/>
    <w:rsid w:val="00C23AF0"/>
    <w:rsid w:val="00C33FA9"/>
    <w:rsid w:val="00C414A0"/>
    <w:rsid w:val="00C42B89"/>
    <w:rsid w:val="00C44B7E"/>
    <w:rsid w:val="00C527E8"/>
    <w:rsid w:val="00C54161"/>
    <w:rsid w:val="00C72975"/>
    <w:rsid w:val="00C90F7E"/>
    <w:rsid w:val="00CA295F"/>
    <w:rsid w:val="00CA520C"/>
    <w:rsid w:val="00CC650B"/>
    <w:rsid w:val="00D01095"/>
    <w:rsid w:val="00D4286A"/>
    <w:rsid w:val="00D503AB"/>
    <w:rsid w:val="00D516D2"/>
    <w:rsid w:val="00DA3995"/>
    <w:rsid w:val="00DA72CC"/>
    <w:rsid w:val="00DC0575"/>
    <w:rsid w:val="00DC3273"/>
    <w:rsid w:val="00DC7BC5"/>
    <w:rsid w:val="00DE74F6"/>
    <w:rsid w:val="00DF087C"/>
    <w:rsid w:val="00E03B81"/>
    <w:rsid w:val="00E07071"/>
    <w:rsid w:val="00E13822"/>
    <w:rsid w:val="00E17902"/>
    <w:rsid w:val="00E35931"/>
    <w:rsid w:val="00E46B26"/>
    <w:rsid w:val="00E500A2"/>
    <w:rsid w:val="00E54D85"/>
    <w:rsid w:val="00E92152"/>
    <w:rsid w:val="00E96D38"/>
    <w:rsid w:val="00EA1469"/>
    <w:rsid w:val="00EA389B"/>
    <w:rsid w:val="00EC2C10"/>
    <w:rsid w:val="00ED6AB8"/>
    <w:rsid w:val="00ED6E48"/>
    <w:rsid w:val="00F04E01"/>
    <w:rsid w:val="00F1123A"/>
    <w:rsid w:val="00F260D3"/>
    <w:rsid w:val="00F334A9"/>
    <w:rsid w:val="00F526C0"/>
    <w:rsid w:val="00F61E67"/>
    <w:rsid w:val="00F73641"/>
    <w:rsid w:val="00F80B6C"/>
    <w:rsid w:val="00F95EDD"/>
    <w:rsid w:val="00FC57C7"/>
    <w:rsid w:val="00FD24A5"/>
    <w:rsid w:val="00FD3A4A"/>
    <w:rsid w:val="00FF1392"/>
    <w:rsid w:val="00FF464E"/>
    <w:rsid w:val="0FFF09A6"/>
    <w:rsid w:val="1F8D5E79"/>
    <w:rsid w:val="22EED47E"/>
    <w:rsid w:val="2FFD70E5"/>
    <w:rsid w:val="3A791A5E"/>
    <w:rsid w:val="3B7CFDB2"/>
    <w:rsid w:val="45D109A0"/>
    <w:rsid w:val="49641B2B"/>
    <w:rsid w:val="54BC0A6D"/>
    <w:rsid w:val="5DCD99D9"/>
    <w:rsid w:val="698067CB"/>
    <w:rsid w:val="6AFE668E"/>
    <w:rsid w:val="6D2D5513"/>
    <w:rsid w:val="7443040B"/>
    <w:rsid w:val="74820ACA"/>
    <w:rsid w:val="78F16688"/>
    <w:rsid w:val="790A7749"/>
    <w:rsid w:val="7A6FD16B"/>
    <w:rsid w:val="7EEF7BBB"/>
    <w:rsid w:val="D9FF15C0"/>
    <w:rsid w:val="EFEFEC52"/>
    <w:rsid w:val="FEFF502C"/>
    <w:rsid w:val="FF3FDB1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3"/>
    <w:next w:val="1"/>
    <w:qFormat/>
    <w:uiPriority w:val="0"/>
    <w:pPr>
      <w:keepNext/>
      <w:numPr>
        <w:ilvl w:val="1"/>
        <w:numId w:val="1"/>
      </w:numPr>
      <w:tabs>
        <w:tab w:val="left" w:pos="480"/>
        <w:tab w:val="left" w:pos="756"/>
        <w:tab w:val="left" w:pos="1050"/>
        <w:tab w:val="right" w:leader="dot" w:pos="9678"/>
      </w:tabs>
      <w:spacing w:before="40" w:after="40"/>
      <w:outlineLvl w:val="1"/>
    </w:pPr>
    <w:rPr>
      <w:szCs w:val="20"/>
    </w:rPr>
  </w:style>
  <w:style w:type="paragraph" w:styleId="4">
    <w:name w:val="heading 3"/>
    <w:basedOn w:val="1"/>
    <w:next w:val="1"/>
    <w:qFormat/>
    <w:uiPriority w:val="0"/>
    <w:pPr>
      <w:keepNext/>
      <w:numPr>
        <w:ilvl w:val="2"/>
        <w:numId w:val="2"/>
      </w:numPr>
      <w:tabs>
        <w:tab w:val="left" w:pos="420"/>
      </w:tabs>
      <w:jc w:val="left"/>
      <w:outlineLvl w:val="2"/>
    </w:pPr>
    <w:rPr>
      <w:rFonts w:eastAsia="仿宋"/>
      <w:szCs w:val="20"/>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toc 2"/>
    <w:basedOn w:val="1"/>
    <w:next w:val="1"/>
    <w:uiPriority w:val="39"/>
    <w:pPr>
      <w:tabs>
        <w:tab w:val="left" w:pos="1050"/>
        <w:tab w:val="right" w:leader="dot" w:pos="9678"/>
      </w:tabs>
      <w:spacing w:before="120" w:line="400" w:lineRule="exact"/>
    </w:pPr>
    <w:rPr>
      <w:rFonts w:eastAsia="仿宋"/>
    </w:rPr>
  </w:style>
  <w:style w:type="paragraph" w:styleId="5">
    <w:name w:val="annotation text"/>
    <w:basedOn w:val="1"/>
    <w:link w:val="18"/>
    <w:unhideWhenUsed/>
    <w:qFormat/>
    <w:uiPriority w:val="99"/>
    <w:pPr>
      <w:jc w:val="left"/>
    </w:pPr>
  </w:style>
  <w:style w:type="paragraph" w:styleId="6">
    <w:name w:val="Date"/>
    <w:basedOn w:val="1"/>
    <w:next w:val="1"/>
    <w:link w:val="19"/>
    <w:semiHidden/>
    <w:unhideWhenUsed/>
    <w:qFormat/>
    <w:uiPriority w:val="99"/>
    <w:pPr>
      <w:ind w:left="100" w:leftChars="2500"/>
    </w:pPr>
  </w:style>
  <w:style w:type="paragraph" w:styleId="7">
    <w:name w:val="Balloon Text"/>
    <w:basedOn w:val="1"/>
    <w:link w:val="20"/>
    <w:semiHidden/>
    <w:unhideWhenUsed/>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styleId="11">
    <w:name w:val="Title"/>
    <w:basedOn w:val="1"/>
    <w:next w:val="1"/>
    <w:qFormat/>
    <w:uiPriority w:val="10"/>
    <w:pPr>
      <w:spacing w:before="240" w:after="60"/>
      <w:jc w:val="center"/>
      <w:outlineLvl w:val="0"/>
    </w:pPr>
    <w:rPr>
      <w:rFonts w:asciiTheme="majorHAnsi" w:hAnsiTheme="majorHAnsi" w:cstheme="majorBidi"/>
      <w:b/>
      <w:bCs/>
      <w:sz w:val="32"/>
      <w:szCs w:val="32"/>
    </w:rPr>
  </w:style>
  <w:style w:type="character" w:styleId="14">
    <w:name w:val="Strong"/>
    <w:basedOn w:val="13"/>
    <w:qFormat/>
    <w:uiPriority w:val="22"/>
    <w:rPr>
      <w:b/>
      <w:bCs/>
    </w:rPr>
  </w:style>
  <w:style w:type="character" w:styleId="15">
    <w:name w:val="Hyperlink"/>
    <w:uiPriority w:val="0"/>
    <w:rPr>
      <w:color w:val="0000FF"/>
      <w:u w:val="none"/>
    </w:rPr>
  </w:style>
  <w:style w:type="character" w:customStyle="1" w:styleId="16">
    <w:name w:val="页眉 Char"/>
    <w:basedOn w:val="13"/>
    <w:link w:val="9"/>
    <w:qFormat/>
    <w:uiPriority w:val="99"/>
    <w:rPr>
      <w:sz w:val="18"/>
      <w:szCs w:val="18"/>
    </w:rPr>
  </w:style>
  <w:style w:type="character" w:customStyle="1" w:styleId="17">
    <w:name w:val="页脚 Char"/>
    <w:basedOn w:val="13"/>
    <w:link w:val="8"/>
    <w:qFormat/>
    <w:uiPriority w:val="99"/>
    <w:rPr>
      <w:sz w:val="18"/>
      <w:szCs w:val="18"/>
    </w:rPr>
  </w:style>
  <w:style w:type="character" w:customStyle="1" w:styleId="18">
    <w:name w:val="批注文字 Char"/>
    <w:basedOn w:val="13"/>
    <w:link w:val="5"/>
    <w:qFormat/>
    <w:uiPriority w:val="99"/>
    <w:rPr>
      <w:rFonts w:ascii="Times New Roman" w:hAnsi="Times New Roman" w:eastAsia="宋体" w:cs="Times New Roman"/>
      <w:kern w:val="2"/>
      <w:sz w:val="21"/>
      <w:szCs w:val="24"/>
    </w:rPr>
  </w:style>
  <w:style w:type="character" w:customStyle="1" w:styleId="19">
    <w:name w:val="日期 Char"/>
    <w:basedOn w:val="13"/>
    <w:link w:val="6"/>
    <w:semiHidden/>
    <w:qFormat/>
    <w:uiPriority w:val="99"/>
    <w:rPr>
      <w:rFonts w:ascii="Times New Roman" w:hAnsi="Times New Roman" w:eastAsia="宋体" w:cs="Times New Roman"/>
      <w:kern w:val="2"/>
      <w:sz w:val="21"/>
      <w:szCs w:val="24"/>
    </w:rPr>
  </w:style>
  <w:style w:type="character" w:customStyle="1" w:styleId="20">
    <w:name w:val="批注框文本 Char"/>
    <w:basedOn w:val="13"/>
    <w:link w:val="7"/>
    <w:semiHidden/>
    <w:qFormat/>
    <w:uiPriority w:val="99"/>
    <w:rPr>
      <w:kern w:val="2"/>
      <w:sz w:val="18"/>
      <w:szCs w:val="18"/>
    </w:rPr>
  </w:style>
  <w:style w:type="paragraph" w:styleId="21">
    <w:name w:val="List Paragraph"/>
    <w:basedOn w:val="1"/>
    <w:qFormat/>
    <w:uiPriority w:val="34"/>
    <w:pPr>
      <w:ind w:firstLine="420" w:firstLineChars="200"/>
    </w:pPr>
  </w:style>
  <w:style w:type="paragraph" w:customStyle="1" w:styleId="22">
    <w:name w:val="Heading Left"/>
    <w:basedOn w:val="1"/>
    <w:qFormat/>
    <w:uiPriority w:val="0"/>
    <w:pPr>
      <w:tabs>
        <w:tab w:val="center" w:pos="4820"/>
        <w:tab w:val="right" w:pos="9639"/>
      </w:tabs>
      <w:spacing w:after="120"/>
    </w:pPr>
    <w:rPr>
      <w:b/>
      <w:caps/>
      <w:sz w:val="24"/>
      <w:szCs w:val="20"/>
      <w:lang w:val="en-G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1756</Words>
  <Characters>10015</Characters>
  <Lines>83</Lines>
  <Paragraphs>23</Paragraphs>
  <TotalTime>135</TotalTime>
  <ScaleCrop>false</ScaleCrop>
  <LinksUpToDate>false</LinksUpToDate>
  <CharactersWithSpaces>11748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2017-11-29T22:37:00Z</dcterms:created>
  <dc:creator>0002219</dc:creator>
  <cp:lastModifiedBy>张芳～蒙牛人事行政招聘专员</cp:lastModifiedBy>
  <cp:lastPrinted>2023-05-08T02:54:00Z</cp:lastPrinted>
  <dcterms:modified xsi:type="dcterms:W3CDTF">2023-10-07T12:50:15Z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7AC0B03CDCB0417DA40BCC7161C81232_12</vt:lpwstr>
  </property>
</Properties>
</file>