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bookmarkStart w:id="0" w:name="_GoBack"/>
      <w:r>
        <w:rPr>
          <w:rFonts w:hint="eastAsia" w:ascii="宋体" w:hAnsi="宋体" w:cs="宋体"/>
          <w:b/>
          <w:bCs/>
          <w:kern w:val="0"/>
          <w:sz w:val="36"/>
          <w:szCs w:val="36"/>
        </w:rPr>
        <w:t>武汉工厂事故风机采购安装集中采购项目</w:t>
      </w:r>
    </w:p>
    <w:bookmarkEnd w:id="0"/>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蒙牛高科乳制品武汉有限责任公司就武汉工厂事故风机采购安装集中采购项目进行公开询比价, 欢迎符合资格条件的供应商参加。</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asciiTheme="minorEastAsia" w:hAnsiTheme="minorEastAsia" w:eastAsiaTheme="minorEastAsia"/>
          <w:sz w:val="28"/>
          <w:szCs w:val="28"/>
        </w:rPr>
        <w:t>MNCGJH-20231222-0020</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：武汉工厂事故风机采购安装集中采购项目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jc w:val="left"/>
        <w:rPr>
          <w:rFonts w:ascii="仿宋_GB2312" w:hAnsi="宋体" w:eastAsia="仿宋_GB2312"/>
          <w:sz w:val="28"/>
          <w:szCs w:val="28"/>
        </w:rPr>
      </w:pPr>
      <w:r>
        <w:rPr>
          <w:rFonts w:hint="eastAsia" w:asciiTheme="minorEastAsia" w:hAnsiTheme="minorEastAsia" w:eastAsiaTheme="minorEastAsia"/>
          <w:sz w:val="28"/>
          <w:szCs w:val="28"/>
        </w:rPr>
        <w:t>武汉工厂低温&amp;鲜奶各现存1个动力制冷间、1个成品冷库，均采用氟利昂制冷，且未安装事故排风系统。不符合GB50072-2021《冷库设计标准》中“采用卤代烃及其混合物、二氧化碳为制冷剂，二氧化碳为载冷剂的制冷机房应设置事故排风装置，排风机数量不应少于2台”及库房内的制冷设备间和阀站间应设置事故排风装置,排风换气次数不应小于12 次/h”的要求。依据GB50072-2021《冷库设计标准》，在动力制冷间、成品冷库制冷机房设置事故排风系统（换气次数13~14次/h），每套排风系统设置2台事故风</w:t>
      </w:r>
      <w:r>
        <w:rPr>
          <w:rFonts w:hint="eastAsia" w:ascii="仿宋_GB2312" w:hAnsi="宋体" w:eastAsia="仿宋_GB2312"/>
          <w:sz w:val="28"/>
          <w:szCs w:val="28"/>
        </w:rPr>
        <w:t>机、1台中控系统及配套管线。</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（1）竞价方须具有有效的营业执照、组织机构代码证、税务登记证（注:以上三项或三证合一营业执照副本），经营范围须与低碳咨询、碳认证相关，以营业执照为准；</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（2）有效的开户行许可证/基本存款账户； </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（3）竞价方近三年无违法违规行为，没有处于被责令停业或破产状态，且资产未被重组、接管和冻结；</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（4）竞价人未被列入国家企业信用信息公示系统（http://www.gsxt.gov.cn/index.html）严重违法失信企业名单；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（7）不接受中粮及蒙牛供应商黑名单（以蒙牛集团采购执行管理部下发的黑名单为准）的企业参与竞争；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（8）供应商需提供近2年内相关业绩合同（2份）的证明文件；</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（9）能开具增值税专用发票的资格，提供一般纳税人认定资格证明材料；</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6、近两年（202</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2</w:t>
      </w:r>
      <w:r>
        <w:rPr>
          <w:rFonts w:hint="eastAsia" w:asciiTheme="minorEastAsia" w:hAnsiTheme="minorEastAsia" w:eastAsiaTheme="minorEastAsia"/>
          <w:sz w:val="28"/>
          <w:szCs w:val="28"/>
          <w:u w:val="single"/>
          <w:lang w:val="en-US" w:eastAsia="zh-CN"/>
        </w:rPr>
        <w:t>7</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6</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14</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2023</w:t>
      </w:r>
      <w:r>
        <w:rPr>
          <w:rFonts w:hint="eastAsia" w:asciiTheme="minorEastAsia" w:hAnsiTheme="minorEastAsia" w:eastAsiaTheme="minorEastAsia"/>
          <w:sz w:val="28"/>
          <w:szCs w:val="28"/>
        </w:rPr>
        <w:t>年12月</w:t>
      </w:r>
      <w:r>
        <w:rPr>
          <w:rFonts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5D7F49"/>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2E46"/>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B6B3A"/>
    <w:rsid w:val="00FD24A5"/>
    <w:rsid w:val="00FF5E1E"/>
    <w:rsid w:val="01413706"/>
    <w:rsid w:val="03BC6943"/>
    <w:rsid w:val="05420EDB"/>
    <w:rsid w:val="06547B8C"/>
    <w:rsid w:val="08836374"/>
    <w:rsid w:val="0A656ED5"/>
    <w:rsid w:val="0FEF4BE8"/>
    <w:rsid w:val="117D42C9"/>
    <w:rsid w:val="11B7382B"/>
    <w:rsid w:val="144A6740"/>
    <w:rsid w:val="15E90C32"/>
    <w:rsid w:val="17AC3CAC"/>
    <w:rsid w:val="1ACC7FAF"/>
    <w:rsid w:val="1D396814"/>
    <w:rsid w:val="20BD20FD"/>
    <w:rsid w:val="27371532"/>
    <w:rsid w:val="273B7CB1"/>
    <w:rsid w:val="286A1085"/>
    <w:rsid w:val="2C104553"/>
    <w:rsid w:val="2D7B1951"/>
    <w:rsid w:val="2E9018D0"/>
    <w:rsid w:val="310164DE"/>
    <w:rsid w:val="34C65D65"/>
    <w:rsid w:val="3E1F1D11"/>
    <w:rsid w:val="3FF00C49"/>
    <w:rsid w:val="41053456"/>
    <w:rsid w:val="42F10F85"/>
    <w:rsid w:val="439E2E7F"/>
    <w:rsid w:val="4563537C"/>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642</Words>
  <Characters>3664</Characters>
  <Lines>30</Lines>
  <Paragraphs>8</Paragraphs>
  <TotalTime>1</TotalTime>
  <ScaleCrop>false</ScaleCrop>
  <LinksUpToDate>false</LinksUpToDate>
  <CharactersWithSpaces>4298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2023-12-25T08:15:00Z</dcterms:created>
  <dc:creator>0002219</dc:creator>
  <cp:lastModifiedBy>GGGGG-Dragon</cp:lastModifiedBy>
  <dcterms:modified xsi:type="dcterms:W3CDTF">2023-12-26T07:32:16Z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A4B6C2597AA24BA58474CBD8FCC0DFBB_13</vt:lpwstr>
  </property>
</Properties>
</file>