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蒙牛乳业低温通辽工厂改造百利包自动化项目</w:t>
      </w:r>
    </w:p>
    <w:p>
      <w:pPr>
        <w:widowControl/>
        <w:spacing w:line="360" w:lineRule="auto"/>
        <w:jc w:val="center"/>
        <w:rPr>
          <w:rFonts w:hint="eastAsia" w:ascii="仿宋" w:hAnsi="仿宋" w:eastAsia="仿宋" w:cs="仿宋"/>
          <w:sz w:val="28"/>
          <w:szCs w:val="28"/>
        </w:rPr>
      </w:pPr>
      <w:r>
        <w:rPr>
          <w:rFonts w:hint="eastAsia" w:ascii="仿宋" w:hAnsi="仿宋" w:eastAsia="仿宋" w:cs="仿宋"/>
          <w:b/>
          <w:bCs/>
          <w:kern w:val="0"/>
          <w:sz w:val="36"/>
          <w:szCs w:val="36"/>
        </w:rPr>
        <w:t>竞争性谈判信息公告</w:t>
      </w:r>
    </w:p>
    <w:p>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内蒙古华晟工程项目管理有限公司受通辽市蒙牛乳制品有限责任公司</w:t>
      </w:r>
      <w:r>
        <w:rPr>
          <w:rFonts w:hint="eastAsia" w:ascii="仿宋" w:hAnsi="仿宋" w:eastAsia="仿宋" w:cs="仿宋"/>
          <w:sz w:val="28"/>
          <w:szCs w:val="28"/>
          <w:highlight w:val="none"/>
        </w:rPr>
        <w:t>委托，</w:t>
      </w:r>
      <w:r>
        <w:rPr>
          <w:rFonts w:hint="eastAsia" w:ascii="仿宋" w:hAnsi="仿宋" w:eastAsia="仿宋" w:cs="仿宋"/>
          <w:sz w:val="28"/>
          <w:szCs w:val="28"/>
          <w:lang w:eastAsia="zh-Hans"/>
        </w:rPr>
        <w:t>现</w:t>
      </w:r>
      <w:r>
        <w:rPr>
          <w:rFonts w:hint="eastAsia" w:ascii="仿宋" w:hAnsi="仿宋" w:eastAsia="仿宋" w:cs="仿宋"/>
          <w:sz w:val="28"/>
          <w:szCs w:val="28"/>
        </w:rPr>
        <w:t>就蒙牛乳业低温通辽工厂改造百利包自动化项目进行竞争性谈判,欢迎符合资格条件的竞谈人参加。</w:t>
      </w:r>
    </w:p>
    <w:p>
      <w:pPr>
        <w:pStyle w:val="23"/>
        <w:adjustRightInd w:val="0"/>
        <w:snapToGrid w:val="0"/>
        <w:spacing w:line="360" w:lineRule="auto"/>
        <w:ind w:left="551" w:firstLine="0" w:firstLineChars="0"/>
        <w:rPr>
          <w:rFonts w:hint="eastAsia"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w:t>
      </w:r>
      <w:r>
        <w:rPr>
          <w:rFonts w:hint="eastAsia" w:ascii="仿宋" w:hAnsi="仿宋" w:eastAsia="仿宋" w:cs="仿宋"/>
          <w:b w:val="0"/>
          <w:bCs/>
          <w:kern w:val="0"/>
          <w:sz w:val="28"/>
          <w:szCs w:val="28"/>
          <w:highlight w:val="none"/>
        </w:rPr>
        <w:t>MNCGJH-20231225-0014</w:t>
      </w:r>
    </w:p>
    <w:p>
      <w:pPr>
        <w:widowControl/>
        <w:numPr>
          <w:ilvl w:val="0"/>
          <w:numId w:val="1"/>
        </w:numPr>
        <w:shd w:val="clear" w:color="auto" w:fill="FFFFFF"/>
        <w:adjustRightInd w:val="0"/>
        <w:snapToGrid w:val="0"/>
        <w:spacing w:line="360" w:lineRule="auto"/>
        <w:ind w:firstLine="551"/>
        <w:rPr>
          <w:rFonts w:hint="eastAsia"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val="0"/>
          <w:bCs/>
          <w:kern w:val="0"/>
          <w:sz w:val="28"/>
          <w:szCs w:val="28"/>
          <w:highlight w:val="none"/>
        </w:rPr>
        <w:t>蒙牛乳业低温通辽工厂改造百利包自动化项目</w:t>
      </w:r>
    </w:p>
    <w:p>
      <w:pPr>
        <w:widowControl/>
        <w:numPr>
          <w:ilvl w:val="0"/>
          <w:numId w:val="1"/>
        </w:numPr>
        <w:shd w:val="clear" w:color="auto" w:fill="FFFFFF"/>
        <w:adjustRightInd w:val="0"/>
        <w:snapToGrid w:val="0"/>
        <w:spacing w:line="360" w:lineRule="auto"/>
        <w:ind w:firstLine="551" w:firstLineChars="196"/>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pStyle w:val="2"/>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低温通辽工厂百利包生产线现为人工装箱，需要增加五连包自动分包、装袋装箱设备，以实现自动化装箱。</w:t>
      </w:r>
    </w:p>
    <w:p>
      <w:pPr>
        <w:adjustRightInd w:val="0"/>
        <w:snapToGrid w:val="0"/>
        <w:spacing w:line="360" w:lineRule="auto"/>
        <w:ind w:firstLine="562" w:firstLineChars="200"/>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themeColor="text1"/>
          <w:sz w:val="28"/>
          <w:szCs w:val="28"/>
          <w14:textFill>
            <w14:solidFill>
              <w14:schemeClr w14:val="tx1"/>
            </w14:solidFill>
          </w14:textFill>
        </w:rPr>
        <w:t>竞谈人必须是在中华人民共和国境内注册具有独立法人资格的企业单位</w:t>
      </w:r>
      <w:r>
        <w:rPr>
          <w:rFonts w:hint="eastAsia" w:ascii="仿宋" w:hAnsi="仿宋" w:eastAsia="仿宋" w:cs="仿宋"/>
          <w:sz w:val="28"/>
          <w:szCs w:val="28"/>
          <w:highlight w:val="none"/>
        </w:rPr>
        <w:t>；</w:t>
      </w:r>
    </w:p>
    <w:p>
      <w:pPr>
        <w:pStyle w:val="4"/>
        <w:spacing w:line="360" w:lineRule="auto"/>
        <w:ind w:firstLine="560"/>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sz w:val="28"/>
          <w:szCs w:val="28"/>
          <w:lang w:val="en-US" w:eastAsia="zh-CN"/>
        </w:rPr>
        <w:t>竞谈人须为具有销售和安装（以上两项需同时具备）能力的设备厂商或授权代理商；若是授权代理商，必须取得所投货物生产制造商出具的书面授权书；招标单位只接受生产厂家一份项目授权书；</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lang w:val="en-US" w:eastAsia="zh-CN"/>
        </w:rPr>
        <w:t>3、</w:t>
      </w:r>
      <w:r>
        <w:rPr>
          <w:rFonts w:hint="eastAsia" w:ascii="仿宋" w:hAnsi="仿宋" w:eastAsia="仿宋" w:cs="仿宋"/>
          <w:sz w:val="28"/>
          <w:szCs w:val="28"/>
          <w:highlight w:val="none"/>
        </w:rPr>
        <w:t>竞谈人须具有两个及以上类似项目业绩（以合同为准）；</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、竞谈人近</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年须具有财务报表或经第三方审计的财务报告；</w:t>
      </w:r>
    </w:p>
    <w:p>
      <w:pPr>
        <w:pStyle w:val="4"/>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竞谈人须具备一般纳税人资格</w:t>
      </w:r>
      <w:r>
        <w:rPr>
          <w:rFonts w:hint="eastAsia" w:ascii="仿宋" w:hAnsi="仿宋" w:eastAsia="仿宋" w:cs="仿宋"/>
          <w:sz w:val="28"/>
          <w:szCs w:val="28"/>
          <w:highlight w:val="none"/>
          <w:lang w:eastAsia="zh-CN"/>
        </w:rPr>
        <w:t>；</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、竞谈人未被列入国家企业信用信息公示系统（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r>
        <w:rPr>
          <w:rFonts w:hint="eastAsia" w:ascii="仿宋" w:hAnsi="仿宋" w:eastAsia="仿宋" w:cs="仿宋"/>
          <w:sz w:val="28"/>
          <w:szCs w:val="28"/>
          <w:highlight w:val="none"/>
        </w:rPr>
        <w:t>；</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不接受</w:t>
      </w:r>
      <w:r>
        <w:rPr>
          <w:rFonts w:hint="eastAsia" w:ascii="仿宋" w:hAnsi="仿宋" w:eastAsia="仿宋" w:cs="仿宋"/>
          <w:sz w:val="28"/>
          <w:szCs w:val="28"/>
          <w:highlight w:val="none"/>
          <w:lang w:val="en-US" w:eastAsia="zh-CN"/>
        </w:rPr>
        <w:t>联合体竞谈</w:t>
      </w:r>
      <w:r>
        <w:rPr>
          <w:rFonts w:hint="eastAsia" w:ascii="仿宋" w:hAnsi="仿宋" w:eastAsia="仿宋" w:cs="仿宋"/>
          <w:sz w:val="28"/>
          <w:szCs w:val="28"/>
          <w:highlight w:val="none"/>
        </w:rPr>
        <w:t>，不允许分包或转包；</w:t>
      </w:r>
    </w:p>
    <w:p>
      <w:pPr>
        <w:pStyle w:val="4"/>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、不接受中粮及蒙牛供应商黑名单（以蒙牛集团采购执行管理部下发的黑名单为准）的企业参与竞争。</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w:t>
      </w:r>
      <w:r>
        <w:rPr>
          <w:rFonts w:hint="eastAsia" w:ascii="仿宋" w:hAnsi="仿宋" w:eastAsia="仿宋" w:cs="仿宋"/>
          <w:sz w:val="28"/>
          <w:szCs w:val="28"/>
          <w:lang w:eastAsia="zh-CN"/>
        </w:rPr>
        <w:t>、</w:t>
      </w:r>
      <w:r>
        <w:rPr>
          <w:rFonts w:hint="eastAsia" w:ascii="仿宋" w:hAnsi="仿宋" w:eastAsia="仿宋" w:cs="仿宋"/>
          <w:sz w:val="28"/>
          <w:szCs w:val="28"/>
        </w:rPr>
        <w:t>有效的开户行许可证</w:t>
      </w:r>
      <w:r>
        <w:rPr>
          <w:rFonts w:hint="eastAsia" w:ascii="仿宋" w:hAnsi="仿宋" w:eastAsia="仿宋" w:cs="仿宋"/>
          <w:sz w:val="28"/>
          <w:szCs w:val="28"/>
          <w:lang w:val="en-US" w:eastAsia="zh-CN"/>
        </w:rPr>
        <w:t>或</w:t>
      </w:r>
      <w:r>
        <w:rPr>
          <w:rFonts w:hint="eastAsia" w:ascii="仿宋" w:hAnsi="仿宋" w:eastAsia="仿宋" w:cs="仿宋"/>
          <w:sz w:val="28"/>
          <w:szCs w:val="28"/>
        </w:rPr>
        <w:t>基本存款</w:t>
      </w:r>
      <w:r>
        <w:rPr>
          <w:rFonts w:hint="eastAsia" w:ascii="仿宋" w:hAnsi="仿宋" w:eastAsia="仿宋" w:cs="仿宋"/>
          <w:sz w:val="28"/>
          <w:szCs w:val="28"/>
          <w:lang w:val="en-US" w:eastAsia="zh-CN"/>
        </w:rPr>
        <w:t>账户信息</w:t>
      </w:r>
      <w:r>
        <w:rPr>
          <w:rFonts w:hint="eastAsia" w:ascii="仿宋" w:hAnsi="仿宋" w:eastAsia="仿宋" w:cs="仿宋"/>
          <w:sz w:val="28"/>
          <w:szCs w:val="28"/>
        </w:rPr>
        <w:t>；</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备注：法定代表人须</w:t>
      </w:r>
      <w:r>
        <w:rPr>
          <w:rFonts w:hint="eastAsia" w:ascii="仿宋" w:hAnsi="仿宋" w:eastAsia="仿宋" w:cs="仿宋"/>
          <w:sz w:val="28"/>
          <w:szCs w:val="28"/>
          <w:lang w:val="en-US" w:eastAsia="zh-CN"/>
        </w:rPr>
        <w:t>上传</w:t>
      </w:r>
      <w:r>
        <w:rPr>
          <w:rFonts w:hint="eastAsia" w:ascii="仿宋" w:hAnsi="仿宋" w:eastAsia="仿宋" w:cs="仿宋"/>
          <w:sz w:val="28"/>
          <w:szCs w:val="28"/>
        </w:rPr>
        <w:t>法人证明材料及身份证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，若为被授权人须</w:t>
      </w:r>
      <w:r>
        <w:rPr>
          <w:rFonts w:hint="eastAsia" w:ascii="仿宋" w:hAnsi="仿宋" w:eastAsia="仿宋" w:cs="仿宋"/>
          <w:sz w:val="28"/>
          <w:szCs w:val="28"/>
          <w:lang w:val="en-US" w:eastAsia="zh-CN"/>
        </w:rPr>
        <w:t>上传</w:t>
      </w:r>
      <w:r>
        <w:rPr>
          <w:rFonts w:hint="eastAsia" w:ascii="仿宋" w:hAnsi="仿宋" w:eastAsia="仿宋" w:cs="仿宋"/>
          <w:sz w:val="28"/>
          <w:szCs w:val="28"/>
        </w:rPr>
        <w:t>一份法人授权委托书和身份证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及被授权委托人近</w:t>
      </w:r>
      <w:r>
        <w:rPr>
          <w:rFonts w:hint="eastAsia" w:ascii="仿宋" w:hAnsi="仿宋" w:eastAsia="仿宋" w:cs="仿宋"/>
          <w:color w:val="FF0000"/>
          <w:sz w:val="28"/>
          <w:szCs w:val="28"/>
          <w:u w:val="single"/>
        </w:rPr>
        <w:t>一年</w:t>
      </w:r>
      <w:r>
        <w:rPr>
          <w:rFonts w:hint="eastAsia" w:ascii="仿宋" w:hAnsi="仿宋" w:eastAsia="仿宋" w:cs="仿宋"/>
          <w:sz w:val="28"/>
          <w:szCs w:val="28"/>
        </w:rPr>
        <w:t>内在本单位的社保证明材料；</w:t>
      </w:r>
    </w:p>
    <w:p>
      <w:pPr>
        <w:numPr>
          <w:ilvl w:val="0"/>
          <w:numId w:val="2"/>
        </w:num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提供销售和安装（以上两项需同时具备）能力的设备厂商承诺书，若是授权代理商，提供所投标货物生产制造商出具的书面授权书；招标单位只接受生产厂家一份项目授权书</w:t>
      </w:r>
      <w:r>
        <w:rPr>
          <w:rFonts w:hint="eastAsia" w:ascii="仿宋" w:hAnsi="仿宋" w:eastAsia="仿宋" w:cs="仿宋"/>
          <w:color w:val="000000" w:themeColor="text1"/>
          <w:sz w:val="28"/>
          <w:szCs w:val="28"/>
          <w14:textFill>
            <w14:solidFill>
              <w14:schemeClr w14:val="tx1"/>
            </w14:solidFill>
          </w14:textFill>
        </w:rPr>
        <w:t>；</w:t>
      </w:r>
    </w:p>
    <w:p>
      <w:pPr>
        <w:ind w:firstLine="560" w:firstLineChars="200"/>
        <w:rPr>
          <w:rFonts w:hint="eastAsia" w:ascii="仿宋" w:hAnsi="仿宋" w:eastAsia="仿宋" w:cs="仿宋"/>
        </w:rPr>
      </w:pPr>
      <w:r>
        <w:rPr>
          <w:rFonts w:hint="eastAsia" w:ascii="仿宋" w:hAnsi="仿宋" w:eastAsia="仿宋" w:cs="仿宋"/>
          <w:color w:val="auto"/>
          <w:kern w:val="2"/>
          <w:sz w:val="28"/>
          <w:szCs w:val="28"/>
          <w:lang w:val="en-US" w:eastAsia="zh-CN" w:bidi="ar-SA"/>
        </w:rPr>
        <w:t>（4）</w:t>
      </w:r>
      <w:r>
        <w:rPr>
          <w:rFonts w:hint="eastAsia" w:ascii="仿宋" w:hAnsi="仿宋" w:eastAsia="仿宋" w:cs="仿宋"/>
          <w:sz w:val="28"/>
          <w:szCs w:val="28"/>
        </w:rPr>
        <w:t>提供2020年至今两个及以上类似项目业绩的证明材料（以合同为准）；</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提供本企业近三年（2020年至今三年）财务报表或经第三方出具的财务审计报告；</w:t>
      </w:r>
    </w:p>
    <w:p>
      <w:pPr>
        <w:pStyle w:val="4"/>
        <w:spacing w:line="360" w:lineRule="auto"/>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rPr>
        <w:t>提供一般纳税人认定资格证明材料</w:t>
      </w:r>
      <w:r>
        <w:rPr>
          <w:rFonts w:hint="eastAsia" w:ascii="仿宋" w:hAnsi="仿宋" w:eastAsia="仿宋" w:cs="仿宋"/>
          <w:sz w:val="28"/>
          <w:szCs w:val="28"/>
          <w:lang w:eastAsia="zh-CN"/>
        </w:rPr>
        <w:t>；</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rPr>
        <w:t>提供本企业未被列入国家企业信用信息公示系统（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"http://www.gsxt.gov.cn/index.html%EF%BC%89%E4%B8%A5%E9%87%8D%E8%BF%9D%E6%B3%95%E5%A4%B1%E4%BF%A1%E4%BC%81%E4%B8%9A%E5%90%8D%E5%8D%95%E7%9A%84%E8%AF%81%E6%98%8E%E6%9D%90" </w:instrText>
      </w:r>
      <w:r>
        <w:rPr>
          <w:rFonts w:hint="eastAsia" w:ascii="仿宋" w:hAnsi="仿宋" w:eastAsia="仿宋" w:cs="仿宋"/>
        </w:rPr>
        <w:fldChar w:fldCharType="separate"/>
      </w:r>
      <w:r>
        <w:rPr>
          <w:rFonts w:hint="eastAsia" w:ascii="仿宋" w:hAnsi="仿宋" w:eastAsia="仿宋" w:cs="仿宋"/>
          <w:sz w:val="28"/>
          <w:szCs w:val="28"/>
        </w:rPr>
        <w:t>http://www.gsxt.gov.cn/index.html）严重违法失信企业名单的证明材</w:t>
      </w:r>
      <w:r>
        <w:rPr>
          <w:rFonts w:hint="eastAsia" w:ascii="仿宋" w:hAnsi="仿宋" w:eastAsia="仿宋" w:cs="仿宋"/>
          <w:sz w:val="28"/>
          <w:szCs w:val="28"/>
        </w:rPr>
        <w:fldChar w:fldCharType="end"/>
      </w:r>
      <w:r>
        <w:rPr>
          <w:rFonts w:hint="eastAsia" w:ascii="仿宋" w:hAnsi="仿宋" w:eastAsia="仿宋" w:cs="仿宋"/>
          <w:sz w:val="28"/>
          <w:szCs w:val="28"/>
        </w:rPr>
        <w:t>料；</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提供保密承诺书（附件2）。</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竞谈人</w:t>
      </w:r>
      <w:r>
        <w:rPr>
          <w:rFonts w:hint="eastAsia" w:ascii="仿宋" w:hAnsi="仿宋" w:eastAsia="仿宋" w:cs="仿宋"/>
          <w:color w:val="000000"/>
          <w:sz w:val="28"/>
          <w:szCs w:val="28"/>
        </w:rPr>
        <w:t>自购买谈判文件之日起，应确保其向</w:t>
      </w:r>
      <w:r>
        <w:rPr>
          <w:rFonts w:hint="eastAsia" w:ascii="仿宋" w:hAnsi="仿宋" w:eastAsia="仿宋" w:cs="仿宋"/>
          <w:color w:val="000000"/>
          <w:sz w:val="28"/>
          <w:szCs w:val="28"/>
          <w:lang w:val="en-US" w:eastAsia="zh-CN"/>
        </w:rPr>
        <w:t>采购方</w:t>
      </w:r>
      <w:r>
        <w:rPr>
          <w:rFonts w:hint="eastAsia" w:ascii="仿宋" w:hAnsi="仿宋" w:eastAsia="仿宋" w:cs="仿宋"/>
          <w:color w:val="000000"/>
          <w:sz w:val="28"/>
          <w:szCs w:val="28"/>
        </w:rPr>
        <w:t>或采购代理机构提供的通讯手段（电话、邮箱）一直有效，以保证往来函件能及时传达并及时反馈信息，否则由此引起的一切后果由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val="en-US"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潜在</w:t>
      </w:r>
      <w:r>
        <w:rPr>
          <w:rFonts w:hint="eastAsia" w:ascii="仿宋" w:hAnsi="仿宋" w:eastAsia="仿宋" w:cs="仿宋"/>
          <w:color w:val="auto"/>
          <w:sz w:val="28"/>
          <w:szCs w:val="28"/>
          <w:lang w:val="en-US" w:eastAsia="zh-CN"/>
        </w:rPr>
        <w:t>竞谈人</w:t>
      </w:r>
      <w:r>
        <w:rPr>
          <w:rFonts w:hint="eastAsia" w:ascii="仿宋" w:hAnsi="仿宋" w:eastAsia="仿宋" w:cs="仿宋"/>
          <w:color w:val="auto"/>
          <w:sz w:val="28"/>
          <w:szCs w:val="28"/>
        </w:rPr>
        <w:t>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hint="eastAsia"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pStyle w:val="6"/>
        <w:ind w:firstLine="560" w:firstLineChars="200"/>
        <w:rPr>
          <w:rFonts w:hint="eastAsia" w:ascii="仿宋" w:hAnsi="仿宋" w:eastAsia="仿宋" w:cs="仿宋"/>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报名时间：</w:t>
      </w:r>
      <w:r>
        <w:rPr>
          <w:rFonts w:hint="eastAsia" w:ascii="仿宋" w:hAnsi="仿宋" w:eastAsia="仿宋" w:cs="仿宋"/>
          <w:sz w:val="28"/>
          <w:szCs w:val="28"/>
          <w:highlight w:val="none"/>
        </w:rPr>
        <w:t>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02</w:t>
      </w:r>
      <w:r>
        <w:rPr>
          <w:rFonts w:hint="eastAsia" w:ascii="仿宋" w:hAnsi="仿宋" w:eastAsia="仿宋" w:cs="仿宋"/>
          <w:sz w:val="28"/>
          <w:szCs w:val="28"/>
          <w:highlight w:val="none"/>
        </w:rPr>
        <w:t>日17:00时；</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日17:00时；</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、谈判文件发售时间：202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06</w:t>
      </w:r>
      <w:r>
        <w:rPr>
          <w:rFonts w:hint="eastAsia" w:ascii="仿宋" w:hAnsi="仿宋" w:eastAsia="仿宋" w:cs="仿宋"/>
          <w:sz w:val="28"/>
          <w:szCs w:val="28"/>
          <w:highlight w:val="none"/>
        </w:rPr>
        <w:t>日17:00时发售谈判文件，谈判文件每套售价：人民币</w:t>
      </w:r>
      <w:r>
        <w:rPr>
          <w:rFonts w:hint="eastAsia" w:ascii="仿宋" w:hAnsi="仿宋" w:eastAsia="仿宋" w:cs="仿宋"/>
          <w:sz w:val="28"/>
          <w:szCs w:val="28"/>
          <w:highlight w:val="none"/>
          <w:u w:val="single"/>
          <w:lang w:val="en-US" w:eastAsia="zh-CN"/>
        </w:rPr>
        <w:t>200</w:t>
      </w:r>
      <w:r>
        <w:rPr>
          <w:rFonts w:hint="eastAsia" w:ascii="仿宋" w:hAnsi="仿宋" w:eastAsia="仿宋" w:cs="仿宋"/>
          <w:sz w:val="28"/>
          <w:szCs w:val="28"/>
          <w:highlight w:val="none"/>
        </w:rPr>
        <w:t>元（仅支持对公转账），售后不退（汇款后将回执扫描后发联系人邮箱主题栏里写清楚项目名称）；</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具体</w:t>
      </w:r>
      <w:r>
        <w:rPr>
          <w:rFonts w:hint="eastAsia" w:ascii="仿宋" w:hAnsi="仿宋" w:eastAsia="仿宋" w:cs="仿宋"/>
          <w:sz w:val="28"/>
          <w:szCs w:val="28"/>
          <w:highlight w:val="none"/>
          <w:lang w:val="en-US" w:eastAsia="zh-CN"/>
        </w:rPr>
        <w:t>汇</w:t>
      </w:r>
      <w:r>
        <w:rPr>
          <w:rFonts w:hint="eastAsia" w:ascii="仿宋" w:hAnsi="仿宋" w:eastAsia="仿宋" w:cs="仿宋"/>
          <w:sz w:val="28"/>
          <w:szCs w:val="28"/>
          <w:highlight w:val="none"/>
        </w:rPr>
        <w:t>款信息如下：</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 兴业银行呼和浩特巨海城支行</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 内蒙古华晟工程项目管理有限公司和林格尔盛乐园区分公司</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银行账号：592120100100098732</w:t>
      </w:r>
    </w:p>
    <w:p>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银行行号：309191002120</w:t>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、谈判时间：202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日09时30分（以发出的</w:t>
      </w:r>
      <w:r>
        <w:rPr>
          <w:rFonts w:hint="eastAsia" w:ascii="仿宋" w:hAnsi="仿宋" w:eastAsia="仿宋" w:cs="仿宋"/>
          <w:sz w:val="28"/>
          <w:szCs w:val="28"/>
        </w:rPr>
        <w:t>谈判文件为准）</w:t>
      </w:r>
    </w:p>
    <w:p>
      <w:pPr>
        <w:spacing w:line="360" w:lineRule="auto"/>
        <w:ind w:firstLine="562" w:firstLineChars="200"/>
        <w:rPr>
          <w:rFonts w:hint="eastAsia" w:ascii="仿宋" w:hAnsi="仿宋" w:eastAsia="仿宋" w:cs="仿宋"/>
          <w:b w:val="0"/>
          <w:bCs/>
          <w:i w:val="0"/>
          <w:iCs w:val="0"/>
          <w:sz w:val="28"/>
          <w:szCs w:val="28"/>
          <w:u w:val="single"/>
        </w:rPr>
      </w:pPr>
      <w:r>
        <w:rPr>
          <w:rFonts w:hint="eastAsia" w:ascii="仿宋" w:hAnsi="仿宋" w:eastAsia="仿宋" w:cs="仿宋"/>
          <w:b/>
          <w:bCs/>
          <w:sz w:val="28"/>
          <w:szCs w:val="28"/>
        </w:rPr>
        <w:t>七、</w:t>
      </w:r>
      <w:r>
        <w:rPr>
          <w:rFonts w:hint="eastAsia" w:ascii="仿宋" w:hAnsi="仿宋" w:eastAsia="仿宋" w:cs="仿宋"/>
          <w:b/>
          <w:bCs w:val="0"/>
          <w:i w:val="0"/>
          <w:iCs w:val="0"/>
          <w:sz w:val="28"/>
          <w:szCs w:val="28"/>
        </w:rPr>
        <w:t>谈判地点：</w:t>
      </w:r>
      <w:r>
        <w:rPr>
          <w:rFonts w:hint="eastAsia" w:ascii="仿宋" w:hAnsi="仿宋" w:eastAsia="仿宋" w:cs="仿宋"/>
          <w:b w:val="0"/>
          <w:bCs/>
          <w:i w:val="0"/>
          <w:iCs w:val="0"/>
          <w:sz w:val="28"/>
          <w:szCs w:val="28"/>
        </w:rPr>
        <w:t>蒙牛集团电子采购招标平台（https://zbcg.mengniu.cn/）（以发出的谈判文件为准）</w:t>
      </w:r>
    </w:p>
    <w:p>
      <w:pPr>
        <w:adjustRightInd w:val="0"/>
        <w:snapToGrid w:val="0"/>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八、发布媒体：</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蒙牛集团电子采购招标平台（</w:t>
      </w:r>
      <w:r>
        <w:rPr>
          <w:rFonts w:hint="eastAsia" w:ascii="仿宋" w:hAnsi="仿宋" w:eastAsia="仿宋" w:cs="仿宋"/>
          <w:b w:val="0"/>
          <w:bCs w:val="0"/>
          <w:sz w:val="28"/>
          <w:szCs w:val="28"/>
          <w:lang w:val="en-US" w:eastAsia="zh-CN"/>
        </w:rPr>
        <w:fldChar w:fldCharType="begin"/>
      </w:r>
      <w:r>
        <w:rPr>
          <w:rFonts w:hint="eastAsia" w:ascii="仿宋" w:hAnsi="仿宋" w:eastAsia="仿宋" w:cs="仿宋"/>
          <w:b w:val="0"/>
          <w:bCs w:val="0"/>
          <w:sz w:val="28"/>
          <w:szCs w:val="28"/>
          <w:lang w:val="en-US" w:eastAsia="zh-CN"/>
        </w:rPr>
        <w:instrText xml:space="preserve"> HYPERLINK "https://zbcg.mengniu.cn/" \l "/home" \t "_blank" </w:instrText>
      </w:r>
      <w:r>
        <w:rPr>
          <w:rFonts w:hint="eastAsia" w:ascii="仿宋" w:hAnsi="仿宋" w:eastAsia="仿宋" w:cs="仿宋"/>
          <w:b w:val="0"/>
          <w:bCs w:val="0"/>
          <w:sz w:val="28"/>
          <w:szCs w:val="28"/>
          <w:lang w:val="en-US" w:eastAsia="zh-CN"/>
        </w:rPr>
        <w:fldChar w:fldCharType="separate"/>
      </w:r>
      <w:r>
        <w:rPr>
          <w:rFonts w:hint="eastAsia" w:ascii="仿宋" w:hAnsi="仿宋" w:eastAsia="仿宋" w:cs="仿宋"/>
          <w:b w:val="0"/>
          <w:bCs w:val="0"/>
          <w:sz w:val="28"/>
          <w:szCs w:val="28"/>
          <w:lang w:val="en-US" w:eastAsia="zh-CN"/>
        </w:rPr>
        <w:t>https://zbcg.mengniu.cn/#/home</w:t>
      </w:r>
      <w:r>
        <w:rPr>
          <w:rFonts w:hint="eastAsia" w:ascii="仿宋" w:hAnsi="仿宋" w:eastAsia="仿宋" w:cs="仿宋"/>
          <w:b w:val="0"/>
          <w:bCs w:val="0"/>
          <w:sz w:val="28"/>
          <w:szCs w:val="28"/>
          <w:lang w:val="en-US" w:eastAsia="zh-CN"/>
        </w:rPr>
        <w:fldChar w:fldCharType="end"/>
      </w:r>
      <w:r>
        <w:rPr>
          <w:rFonts w:hint="eastAsia" w:ascii="仿宋" w:hAnsi="仿宋" w:eastAsia="仿宋" w:cs="仿宋"/>
          <w:b w:val="0"/>
          <w:bCs w:val="0"/>
          <w:sz w:val="28"/>
          <w:szCs w:val="28"/>
          <w:lang w:val="en-US" w:eastAsia="zh-CN"/>
        </w:rPr>
        <w:t>)</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蒙牛官网（http://www.mengniu.com.cn）</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蒙牛内部OA平台</w:t>
      </w:r>
    </w:p>
    <w:p>
      <w:pPr>
        <w:adjustRightInd w:val="0"/>
        <w:snapToGrid w:val="0"/>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此公告只在以上平台发布，其他任何媒体转载无效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九</w:t>
      </w:r>
      <w:r>
        <w:rPr>
          <w:rFonts w:hint="eastAsia" w:ascii="仿宋" w:hAnsi="仿宋" w:eastAsia="仿宋" w:cs="仿宋"/>
          <w:b/>
          <w:bCs/>
          <w:sz w:val="28"/>
          <w:szCs w:val="28"/>
        </w:rPr>
        <w:t>、采购招标实施方及联系方式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采购方：通辽市蒙牛乳制品有限责任公司</w:t>
      </w:r>
    </w:p>
    <w:p>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业务咨询联系人：孟凡新</w:t>
      </w:r>
      <w:r>
        <w:rPr>
          <w:rFonts w:hint="eastAsia" w:ascii="仿宋" w:hAnsi="仿宋" w:eastAsia="仿宋" w:cs="仿宋"/>
          <w:sz w:val="28"/>
          <w:szCs w:val="28"/>
          <w:highlight w:val="none"/>
          <w:lang w:val="en-US" w:eastAsia="zh-CN"/>
        </w:rPr>
        <w:t>/孔艳</w:t>
      </w:r>
    </w:p>
    <w:p>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联系方式：13889346606</w:t>
      </w:r>
      <w:r>
        <w:rPr>
          <w:rFonts w:hint="eastAsia" w:ascii="仿宋" w:hAnsi="仿宋" w:eastAsia="仿宋" w:cs="仿宋"/>
          <w:sz w:val="28"/>
          <w:szCs w:val="28"/>
          <w:highlight w:val="none"/>
          <w:lang w:val="en-US" w:eastAsia="zh-CN"/>
        </w:rPr>
        <w:t>/18004756075</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rPr>
        <w:t>代理公司及联系方式：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采购</w:t>
      </w:r>
      <w:r>
        <w:rPr>
          <w:rFonts w:hint="eastAsia" w:ascii="仿宋" w:hAnsi="仿宋" w:eastAsia="仿宋" w:cs="仿宋"/>
          <w:sz w:val="28"/>
          <w:szCs w:val="28"/>
        </w:rPr>
        <w:t>代理公司：内蒙古华晟工程项目管理有限公司</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报名联系人：白璐（13848351536）/郭宇飞</w:t>
      </w:r>
      <w:bookmarkStart w:id="0" w:name="_GoBack"/>
      <w:bookmarkEnd w:id="0"/>
      <w:r>
        <w:rPr>
          <w:rFonts w:hint="eastAsia" w:ascii="仿宋" w:hAnsi="仿宋" w:eastAsia="仿宋" w:cs="仿宋"/>
          <w:sz w:val="28"/>
          <w:szCs w:val="28"/>
        </w:rPr>
        <w:t>（13474917016）</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联系电话：0471-3957849/4918085分机号：8021</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电子邮箱：bailu@nmghuasheng.com</w:t>
      </w:r>
    </w:p>
    <w:p>
      <w:pPr>
        <w:pStyle w:val="6"/>
        <w:ind w:firstLine="560" w:firstLineChars="200"/>
        <w:rPr>
          <w:rFonts w:hint="eastAsia" w:ascii="仿宋" w:hAnsi="仿宋" w:eastAsia="仿宋" w:cs="仿宋"/>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、监督单位及联系方式：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异议/投诉服务网址：</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监 督 人:潘宏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联系电话：0471-7393642/监督人电话</w:t>
      </w:r>
      <w:r>
        <w:rPr>
          <w:rFonts w:hint="eastAsia" w:ascii="仿宋" w:hAnsi="仿宋" w:eastAsia="仿宋" w:cs="仿宋"/>
          <w:sz w:val="28"/>
          <w:szCs w:val="28"/>
          <w:highlight w:val="none"/>
          <w:lang w:eastAsia="zh-CN"/>
        </w:rPr>
        <w:t>：18686095595</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电子邮件：panhong@mengniu.cn</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4"/>
        <w:spacing w:line="360" w:lineRule="auto"/>
        <w:ind w:firstLine="56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pPr>
        <w:adjustRightInd w:val="0"/>
        <w:snapToGrid w:val="0"/>
        <w:spacing w:line="360" w:lineRule="auto"/>
        <w:ind w:firstLine="560" w:firstLineChars="20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采购方：通辽市蒙牛乳制品有限责任公司</w:t>
      </w:r>
    </w:p>
    <w:p>
      <w:pPr>
        <w:adjustRightInd w:val="0"/>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代理公司：内蒙古华晟工程项目管理有限公司</w:t>
      </w:r>
    </w:p>
    <w:p>
      <w:pPr>
        <w:adjustRightInd w:val="0"/>
        <w:snapToGrid w:val="0"/>
        <w:spacing w:line="360" w:lineRule="auto"/>
        <w:ind w:firstLine="560" w:firstLineChars="200"/>
        <w:jc w:val="center"/>
        <w:rPr>
          <w:rFonts w:hint="eastAsia" w:ascii="仿宋" w:hAnsi="仿宋" w:eastAsia="仿宋" w:cs="仿宋"/>
          <w:sz w:val="28"/>
          <w:szCs w:val="28"/>
          <w:highlight w:val="yellow"/>
        </w:rPr>
      </w:pPr>
      <w:r>
        <w:rPr>
          <w:rFonts w:hint="eastAsia" w:ascii="仿宋" w:hAnsi="仿宋" w:eastAsia="仿宋" w:cs="仿宋"/>
          <w:sz w:val="28"/>
          <w:szCs w:val="28"/>
        </w:rPr>
        <w:t xml:space="preserve">                                  </w:t>
      </w:r>
      <w:r>
        <w:rPr>
          <w:rFonts w:hint="eastAsia" w:ascii="仿宋" w:hAnsi="仿宋" w:eastAsia="仿宋" w:cs="仿宋"/>
          <w:sz w:val="28"/>
          <w:szCs w:val="28"/>
          <w:highlight w:val="none"/>
        </w:rPr>
        <w:t xml:space="preserve">    2023年1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p>
    <w:p>
      <w:pPr>
        <w:rPr>
          <w:rFonts w:hint="eastAsia"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附件1：</w:t>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hint="eastAsia" w:ascii="仿宋" w:hAnsi="仿宋" w:eastAsia="仿宋" w:cs="仿宋"/>
          <w:b/>
          <w:szCs w:val="21"/>
        </w:rPr>
      </w:pP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hint="eastAsia"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hint="eastAsia"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hint="eastAsia" w:ascii="仿宋" w:hAnsi="仿宋" w:eastAsia="仿宋" w:cs="仿宋"/>
          <w:sz w:val="24"/>
        </w:rPr>
      </w:pPr>
    </w:p>
    <w:p>
      <w:pPr>
        <w:ind w:right="1556" w:rightChars="741"/>
        <w:jc w:val="right"/>
        <w:rPr>
          <w:rFonts w:hint="eastAsia" w:ascii="仿宋" w:hAnsi="仿宋" w:eastAsia="仿宋" w:cs="仿宋"/>
          <w:sz w:val="24"/>
        </w:rPr>
      </w:pP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p>
    <w:tbl>
      <w:tblPr>
        <w:tblStyle w:val="17"/>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hint="eastAsia"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hint="eastAsia"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hint="eastAsia" w:ascii="仿宋" w:hAnsi="仿宋" w:eastAsia="仿宋" w:cs="仿宋"/>
                <w:b/>
                <w:kern w:val="0"/>
                <w:sz w:val="36"/>
                <w:szCs w:val="36"/>
              </w:rPr>
            </w:pPr>
          </w:p>
        </w:tc>
        <w:tc>
          <w:tcPr>
            <w:tcW w:w="5060" w:type="dxa"/>
            <w:shd w:val="clear" w:color="auto" w:fill="auto"/>
          </w:tcPr>
          <w:p>
            <w:pPr>
              <w:jc w:val="center"/>
              <w:rPr>
                <w:rFonts w:hint="eastAsia" w:ascii="仿宋" w:hAnsi="仿宋" w:eastAsia="仿宋" w:cs="仿宋"/>
                <w:b/>
                <w:kern w:val="0"/>
                <w:sz w:val="36"/>
                <w:szCs w:val="36"/>
              </w:rPr>
            </w:pPr>
          </w:p>
        </w:tc>
      </w:tr>
    </w:tbl>
    <w:p>
      <w:pPr>
        <w:rPr>
          <w:rFonts w:hint="eastAsia" w:ascii="仿宋" w:hAnsi="仿宋" w:eastAsia="仿宋" w:cs="仿宋"/>
          <w:sz w:val="20"/>
          <w:szCs w:val="22"/>
        </w:rPr>
      </w:pPr>
    </w:p>
    <w:p>
      <w:pPr>
        <w:rPr>
          <w:rFonts w:hint="eastAsia" w:ascii="仿宋" w:hAnsi="仿宋" w:eastAsia="仿宋" w:cs="仿宋"/>
          <w:b/>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hint="eastAsia" w:ascii="仿宋" w:hAnsi="仿宋" w:eastAsia="仿宋" w:cs="仿宋"/>
          <w:color w:val="000000"/>
          <w:szCs w:val="21"/>
        </w:rPr>
      </w:pPr>
    </w:p>
    <w:p>
      <w:pPr>
        <w:spacing w:line="360" w:lineRule="auto"/>
        <w:ind w:right="594" w:rightChars="283"/>
        <w:jc w:val="lef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pPr>
        <w:spacing w:line="48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hint="eastAsia"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hint="eastAsia" w:ascii="仿宋" w:hAnsi="仿宋" w:eastAsia="仿宋" w:cs="仿宋"/>
          <w:sz w:val="24"/>
        </w:rPr>
      </w:pPr>
      <w:r>
        <w:rPr>
          <w:rFonts w:hint="eastAsia" w:ascii="仿宋" w:hAnsi="仿宋" w:eastAsia="仿宋" w:cs="仿宋"/>
          <w:sz w:val="24"/>
        </w:rPr>
        <w:t>竞谈人全称（公章）：</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hint="eastAsia"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hint="eastAsia" w:ascii="仿宋" w:hAnsi="仿宋" w:eastAsia="仿宋" w:cs="仿宋"/>
          <w:sz w:val="24"/>
        </w:rPr>
      </w:pPr>
      <w:r>
        <w:rPr>
          <w:rFonts w:hint="eastAsia" w:ascii="仿宋" w:hAnsi="仿宋" w:eastAsia="仿宋" w:cs="仿宋"/>
          <w:sz w:val="24"/>
        </w:rPr>
        <w:t>身份证号码：</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hint="eastAsia" w:ascii="仿宋" w:hAnsi="仿宋" w:eastAsia="仿宋" w:cs="仿宋"/>
          <w:color w:val="000000"/>
          <w:sz w:val="24"/>
        </w:rPr>
      </w:pPr>
      <w:r>
        <w:rPr>
          <w:rFonts w:hint="eastAsia" w:ascii="仿宋" w:hAnsi="仿宋" w:eastAsia="仿宋" w:cs="仿宋"/>
          <w:color w:val="000000"/>
          <w:sz w:val="24"/>
        </w:rPr>
        <w:t xml:space="preserve">                                    2023年  月  日    </w:t>
      </w:r>
    </w:p>
    <w:p>
      <w:pPr>
        <w:ind w:firstLine="851"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pPr>
        <w:pStyle w:val="16"/>
        <w:spacing w:after="0" w:line="360" w:lineRule="auto"/>
        <w:ind w:left="0" w:leftChars="0" w:firstLine="0" w:firstLineChars="0"/>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16"/>
        <w:spacing w:after="0" w:line="360" w:lineRule="auto"/>
        <w:ind w:left="0" w:leftChars="0" w:firstLine="0" w:firstLineChars="0"/>
        <w:rPr>
          <w:rFonts w:hint="eastAsia"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甲方：通辽市蒙牛乳制品有限责任公司</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360" w:lineRule="auto"/>
        <w:jc w:val="left"/>
        <w:textAlignment w:val="baseline"/>
        <w:rPr>
          <w:rFonts w:hint="eastAsia" w:ascii="仿宋" w:hAnsi="仿宋" w:eastAsia="仿宋" w:cs="仿宋"/>
          <w:color w:val="000000"/>
          <w:kern w:val="0"/>
          <w:sz w:val="24"/>
        </w:rPr>
      </w:pP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乙方（承诺方）：</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360" w:lineRule="auto"/>
        <w:jc w:val="left"/>
        <w:textAlignment w:val="baseline"/>
        <w:rPr>
          <w:rFonts w:hint="eastAsia" w:ascii="仿宋" w:hAnsi="仿宋" w:eastAsia="仿宋" w:cs="仿宋"/>
          <w:color w:val="000000"/>
          <w:kern w:val="0"/>
          <w:sz w:val="24"/>
        </w:rPr>
      </w:pP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甲乙双方就</w:t>
      </w:r>
      <w:r>
        <w:rPr>
          <w:rFonts w:hint="eastAsia" w:ascii="仿宋" w:hAnsi="仿宋" w:eastAsia="仿宋" w:cs="仿宋"/>
          <w:color w:val="000000"/>
          <w:kern w:val="0"/>
          <w:sz w:val="24"/>
          <w:szCs w:val="24"/>
          <w:u w:val="single"/>
        </w:rPr>
        <w:t xml:space="preserve">  蒙牛乳业低温通辽工厂改造百利包自动化项目  </w:t>
      </w:r>
      <w:r>
        <w:rPr>
          <w:rFonts w:hint="eastAsia" w:ascii="仿宋" w:hAnsi="仿宋" w:eastAsia="仿宋" w:cs="仿宋"/>
          <w:color w:val="000000"/>
          <w:kern w:val="0"/>
          <w:sz w:val="24"/>
          <w:szCs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一、定义</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（一）由乙方以书面文件证明：该等信息已于披露之前已由乙方所持有；</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（二）已公开发表或非因乙方作为或不作为的原因，已向公众披露；</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（三）已由甲方书面同意乙方公开；</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（四）由乙方在未使用该等机密信息的情形下独立开发；</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二、保密</w:t>
      </w:r>
    </w:p>
    <w:p>
      <w:pPr>
        <w:pStyle w:val="12"/>
        <w:spacing w:line="440" w:lineRule="exact"/>
        <w:ind w:left="0" w:firstLine="480" w:firstLineChars="200"/>
        <w:rPr>
          <w:rFonts w:hint="eastAsia"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三、公开</w:t>
      </w:r>
    </w:p>
    <w:p>
      <w:pPr>
        <w:pStyle w:val="12"/>
        <w:spacing w:line="440" w:lineRule="exact"/>
        <w:ind w:left="239" w:leftChars="114" w:firstLine="360" w:firstLineChars="150"/>
        <w:rPr>
          <w:rFonts w:hint="eastAsia"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四、强制性披露</w:t>
      </w:r>
    </w:p>
    <w:p>
      <w:pPr>
        <w:spacing w:line="440" w:lineRule="exact"/>
        <w:ind w:firstLine="544" w:firstLineChars="227"/>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五、返还资料</w:t>
      </w:r>
    </w:p>
    <w:p>
      <w:pPr>
        <w:pStyle w:val="7"/>
        <w:spacing w:line="4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六、非授权许可</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七、义务限定</w:t>
      </w:r>
    </w:p>
    <w:p>
      <w:pPr>
        <w:spacing w:line="440" w:lineRule="exact"/>
        <w:ind w:left="1"/>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color w:val="000000"/>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八、信息准确性</w:t>
      </w:r>
    </w:p>
    <w:p>
      <w:pPr>
        <w:spacing w:line="440" w:lineRule="exact"/>
        <w:ind w:left="-79" w:leftChars="-266" w:hanging="480" w:hanging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color w:val="000000"/>
          <w:kern w:val="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九、期限</w:t>
      </w:r>
    </w:p>
    <w:p>
      <w:pPr>
        <w:pStyle w:val="7"/>
        <w:spacing w:line="4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w:t>
      </w:r>
      <w:r>
        <w:rPr>
          <w:rFonts w:hint="eastAsia" w:ascii="仿宋" w:hAnsi="仿宋" w:eastAsia="仿宋" w:cs="仿宋"/>
          <w:color w:val="000000"/>
          <w:kern w:val="0"/>
          <w:sz w:val="24"/>
          <w:szCs w:val="24"/>
        </w:rPr>
        <w:t>年内持续有效，且不因承诺书目的之达成而终止。</w:t>
      </w:r>
    </w:p>
    <w:p>
      <w:pPr>
        <w:pStyle w:val="7"/>
        <w:spacing w:line="4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FF0000"/>
          <w:kern w:val="0"/>
          <w:sz w:val="24"/>
          <w:szCs w:val="24"/>
        </w:rPr>
        <w:t>说明：保密期限请业务按照实际需求进行约定，建议最低期限不得低于五年。</w:t>
      </w:r>
      <w:r>
        <w:rPr>
          <w:rFonts w:hint="eastAsia" w:ascii="仿宋" w:hAnsi="仿宋" w:eastAsia="仿宋" w:cs="仿宋"/>
          <w:color w:val="000000"/>
          <w:kern w:val="0"/>
          <w:sz w:val="24"/>
          <w:szCs w:val="24"/>
        </w:rPr>
        <w:t>）</w:t>
      </w:r>
    </w:p>
    <w:p>
      <w:pPr>
        <w:pStyle w:val="6"/>
        <w:spacing w:before="156" w:beforeLines="50" w:after="156" w:afterLines="50" w:line="440" w:lineRule="exact"/>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十、</w:t>
      </w:r>
      <w:r>
        <w:rPr>
          <w:rFonts w:hint="eastAsia" w:ascii="仿宋" w:hAnsi="仿宋" w:eastAsia="仿宋" w:cs="仿宋"/>
          <w:b/>
          <w:color w:val="000000"/>
          <w:sz w:val="24"/>
          <w:szCs w:val="24"/>
        </w:rPr>
        <w:t>补充条款</w:t>
      </w:r>
    </w:p>
    <w:p>
      <w:pPr>
        <w:pStyle w:val="6"/>
        <w:spacing w:after="0"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（一）合规条款</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5、劳动用工:</w:t>
      </w:r>
      <w:r>
        <w:rPr>
          <w:rFonts w:hint="eastAsia" w:ascii="仿宋" w:hAnsi="仿宋" w:eastAsia="仿宋" w:cs="仿宋"/>
          <w:sz w:val="24"/>
          <w:szCs w:val="24"/>
        </w:rPr>
        <w:t xml:space="preserve"> </w:t>
      </w:r>
      <w:r>
        <w:rPr>
          <w:rFonts w:hint="eastAsia" w:ascii="仿宋" w:hAnsi="仿宋" w:eastAsia="仿宋" w:cs="仿宋"/>
          <w:color w:val="000000"/>
          <w:sz w:val="24"/>
          <w:szCs w:val="24"/>
        </w:rPr>
        <w:t>乙方承诺不雇佣、使用童工，保障其员工的劳动合法权益，不纵容、支持、实施歧视、威胁员工的行为或发布相关言论。</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pPr>
        <w:pStyle w:val="6"/>
        <w:spacing w:after="0"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12、适用原则：本承诺书中合规条款对乙方的要求与承诺书中其他条款不一致的，以对乙方要求更高的条款为准。</w:t>
      </w:r>
    </w:p>
    <w:p>
      <w:pPr>
        <w:pStyle w:val="6"/>
        <w:spacing w:after="0"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（二）环境保护</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（三）附件法律效力条款</w:t>
      </w:r>
    </w:p>
    <w:p>
      <w:pPr>
        <w:widowControl/>
        <w:adjustRightInd w:val="0"/>
        <w:snapToGrid w:val="0"/>
        <w:spacing w:line="440" w:lineRule="exact"/>
        <w:ind w:firstLine="480" w:firstLineChars="200"/>
        <w:textAlignment w:val="baseline"/>
        <w:rPr>
          <w:rFonts w:hint="eastAsia" w:ascii="仿宋" w:hAnsi="仿宋" w:eastAsia="仿宋" w:cs="仿宋"/>
          <w:color w:val="000000"/>
          <w:kern w:val="0"/>
          <w:sz w:val="24"/>
          <w:szCs w:val="24"/>
        </w:rPr>
      </w:pPr>
      <w:r>
        <w:rPr>
          <w:rFonts w:hint="eastAsia" w:ascii="仿宋" w:hAnsi="仿宋" w:eastAsia="仿宋" w:cs="仿宋"/>
          <w:sz w:val="24"/>
          <w:szCs w:val="24"/>
        </w:rPr>
        <w:t>本着接受法律上之约束的意向，双方特此同意本承诺书全部附录、附件等均为本承诺书不可分割的部分，共同构成双方就达成的全部承诺书，与本承诺书具有同等法律效力。</w:t>
      </w:r>
    </w:p>
    <w:p>
      <w:pPr>
        <w:pStyle w:val="6"/>
        <w:spacing w:before="156" w:beforeLines="50" w:after="156" w:afterLines="50" w:line="44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十一、适用法律</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szCs w:val="24"/>
          <w:u w:val="single"/>
        </w:rPr>
        <w:t>【  】</w:t>
      </w:r>
      <w:r>
        <w:rPr>
          <w:rFonts w:hint="eastAsia" w:ascii="仿宋" w:hAnsi="仿宋" w:eastAsia="仿宋" w:cs="仿宋"/>
          <w:color w:val="000000"/>
          <w:kern w:val="0"/>
          <w:sz w:val="24"/>
          <w:szCs w:val="24"/>
        </w:rPr>
        <w:t>种方式解决：</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（一）向呼和浩特仲裁委员会申请仲裁。因仲裁产生的包括但不限于仲裁费、律师费、调查费、差旅费等，由乙方承担。</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（二）向甲方所在地有管辖权的人民法院提起诉讼。因诉讼产生的包括但不限于诉讼费、律师费、调查费、差旅费等，由乙方承担。</w:t>
      </w:r>
    </w:p>
    <w:p>
      <w:pPr>
        <w:spacing w:line="440" w:lineRule="exact"/>
        <w:ind w:firstLine="480" w:firstLineChars="200"/>
        <w:rPr>
          <w:rFonts w:hint="eastAsia" w:ascii="仿宋" w:hAnsi="仿宋" w:eastAsia="仿宋" w:cs="仿宋"/>
          <w:color w:val="FF0000"/>
          <w:kern w:val="0"/>
          <w:sz w:val="24"/>
          <w:szCs w:val="24"/>
        </w:rPr>
      </w:pPr>
      <w:r>
        <w:rPr>
          <w:rFonts w:hint="eastAsia" w:ascii="仿宋" w:hAnsi="仿宋" w:eastAsia="仿宋" w:cs="仿宋"/>
          <w:color w:val="FF0000"/>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pPr>
        <w:pStyle w:val="6"/>
        <w:spacing w:before="156" w:beforeLines="50" w:after="156" w:afterLines="50" w:line="44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十二、违约责任及救济</w:t>
      </w:r>
    </w:p>
    <w:p>
      <w:pPr>
        <w:spacing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482" w:firstLineChars="200"/>
        <w:rPr>
          <w:rFonts w:hint="eastAsia" w:ascii="仿宋" w:hAnsi="仿宋" w:eastAsia="仿宋" w:cs="仿宋"/>
          <w:color w:val="000000"/>
          <w:kern w:val="0"/>
          <w:sz w:val="24"/>
          <w:szCs w:val="24"/>
        </w:rPr>
      </w:pPr>
      <w:r>
        <w:rPr>
          <w:rFonts w:hint="eastAsia" w:ascii="仿宋" w:hAnsi="仿宋" w:eastAsia="仿宋" w:cs="仿宋"/>
          <w:b/>
          <w:color w:val="000000"/>
          <w:kern w:val="0"/>
          <w:sz w:val="24"/>
          <w:szCs w:val="24"/>
        </w:rPr>
        <w:t>如果</w:t>
      </w:r>
      <w:r>
        <w:rPr>
          <w:rFonts w:hint="eastAsia" w:ascii="仿宋" w:hAnsi="仿宋" w:eastAsia="仿宋" w:cs="仿宋"/>
          <w:b/>
          <w:bCs/>
          <w:color w:val="000000"/>
          <w:kern w:val="0"/>
          <w:sz w:val="24"/>
          <w:szCs w:val="24"/>
        </w:rPr>
        <w:t>乙方</w:t>
      </w:r>
      <w:r>
        <w:rPr>
          <w:rFonts w:hint="eastAsia" w:ascii="仿宋" w:hAnsi="仿宋" w:eastAsia="仿宋" w:cs="仿宋"/>
          <w:b/>
          <w:color w:val="000000"/>
          <w:kern w:val="0"/>
          <w:sz w:val="24"/>
          <w:szCs w:val="24"/>
        </w:rPr>
        <w:t>违反本承诺书的任何规定情形,则甲方有权将乙方拉入蒙牛供应商黑名单，乙方应积极配合甲方在10个工作日内收回已经泄露的信息。</w:t>
      </w:r>
    </w:p>
    <w:p>
      <w:pPr>
        <w:pStyle w:val="6"/>
        <w:spacing w:before="156" w:beforeLines="50" w:after="156" w:afterLines="50" w:line="440" w:lineRule="exact"/>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十三、生效及份数</w:t>
      </w:r>
    </w:p>
    <w:p>
      <w:pPr>
        <w:pStyle w:val="6"/>
        <w:spacing w:before="156" w:beforeLines="50" w:after="156" w:afterLines="50" w:line="4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本承诺书经乙方签字盖章之日起生效。</w:t>
      </w:r>
    </w:p>
    <w:p>
      <w:pPr>
        <w:spacing w:line="440" w:lineRule="exact"/>
        <w:ind w:left="360"/>
        <w:rPr>
          <w:rFonts w:hint="eastAsia" w:ascii="仿宋" w:hAnsi="仿宋" w:eastAsia="仿宋" w:cs="仿宋"/>
          <w:b/>
          <w:bCs/>
          <w:sz w:val="24"/>
          <w:szCs w:val="24"/>
        </w:rPr>
      </w:pPr>
    </w:p>
    <w:p>
      <w:pPr>
        <w:widowControl/>
        <w:adjustRightInd w:val="0"/>
        <w:snapToGrid w:val="0"/>
        <w:spacing w:line="44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（以下无正文）</w:t>
      </w:r>
    </w:p>
    <w:p>
      <w:pPr>
        <w:widowControl/>
        <w:adjustRightInd w:val="0"/>
        <w:snapToGrid w:val="0"/>
        <w:spacing w:line="440" w:lineRule="exac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 xml:space="preserve">                            </w:t>
      </w:r>
    </w:p>
    <w:p>
      <w:pPr>
        <w:widowControl/>
        <w:adjustRightInd w:val="0"/>
        <w:snapToGrid w:val="0"/>
        <w:spacing w:line="336" w:lineRule="auto"/>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乙方（承诺方）：</w:t>
      </w:r>
    </w:p>
    <w:p>
      <w:pPr>
        <w:widowControl/>
        <w:adjustRightInd w:val="0"/>
        <w:snapToGrid w:val="0"/>
        <w:spacing w:line="336" w:lineRule="auto"/>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代表人：</w:t>
      </w:r>
    </w:p>
    <w:p>
      <w:pPr>
        <w:widowControl/>
        <w:adjustRightInd w:val="0"/>
        <w:snapToGrid w:val="0"/>
        <w:spacing w:line="360" w:lineRule="auto"/>
        <w:textAlignment w:val="baseline"/>
        <w:rPr>
          <w:rFonts w:hint="eastAsia" w:ascii="仿宋" w:hAnsi="仿宋" w:eastAsia="仿宋" w:cs="仿宋"/>
          <w:kern w:val="0"/>
          <w:sz w:val="22"/>
          <w:szCs w:val="22"/>
        </w:rPr>
      </w:pPr>
      <w:r>
        <w:rPr>
          <w:rFonts w:hint="eastAsia" w:ascii="仿宋" w:hAnsi="仿宋" w:eastAsia="仿宋" w:cs="仿宋"/>
          <w:color w:val="000000"/>
          <w:kern w:val="0"/>
          <w:sz w:val="24"/>
          <w:szCs w:val="24"/>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68BE2"/>
    <w:multiLevelType w:val="singleLevel"/>
    <w:tmpl w:val="EDA68BE2"/>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18D0F17"/>
    <w:rsid w:val="025B398D"/>
    <w:rsid w:val="03396A75"/>
    <w:rsid w:val="03B039E5"/>
    <w:rsid w:val="03FF7F4D"/>
    <w:rsid w:val="043B658C"/>
    <w:rsid w:val="0442248D"/>
    <w:rsid w:val="04DB2AB9"/>
    <w:rsid w:val="04EC3C01"/>
    <w:rsid w:val="04F73278"/>
    <w:rsid w:val="05210C49"/>
    <w:rsid w:val="05503855"/>
    <w:rsid w:val="0613207D"/>
    <w:rsid w:val="06215549"/>
    <w:rsid w:val="064723F6"/>
    <w:rsid w:val="066159B7"/>
    <w:rsid w:val="06B540D2"/>
    <w:rsid w:val="074701C4"/>
    <w:rsid w:val="087757EB"/>
    <w:rsid w:val="08B33959"/>
    <w:rsid w:val="08F70B00"/>
    <w:rsid w:val="092C697E"/>
    <w:rsid w:val="09A95281"/>
    <w:rsid w:val="09C60E63"/>
    <w:rsid w:val="0A984BB5"/>
    <w:rsid w:val="0ABB6BEE"/>
    <w:rsid w:val="0ACC0BD7"/>
    <w:rsid w:val="0B177B03"/>
    <w:rsid w:val="0BC615A2"/>
    <w:rsid w:val="0BE84410"/>
    <w:rsid w:val="0C78283D"/>
    <w:rsid w:val="0D182FCD"/>
    <w:rsid w:val="0D1B5FC6"/>
    <w:rsid w:val="0D657E5E"/>
    <w:rsid w:val="0DB2155C"/>
    <w:rsid w:val="0DDF6A90"/>
    <w:rsid w:val="0DF90060"/>
    <w:rsid w:val="0E027B99"/>
    <w:rsid w:val="0E343D40"/>
    <w:rsid w:val="0E8D781D"/>
    <w:rsid w:val="0F98167A"/>
    <w:rsid w:val="0FCE36E6"/>
    <w:rsid w:val="0FFB56E1"/>
    <w:rsid w:val="0FFF6CF0"/>
    <w:rsid w:val="100A09EA"/>
    <w:rsid w:val="10282537"/>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6D6E2E"/>
    <w:rsid w:val="15CC6FEB"/>
    <w:rsid w:val="161B22DB"/>
    <w:rsid w:val="164C557B"/>
    <w:rsid w:val="16923101"/>
    <w:rsid w:val="16F44753"/>
    <w:rsid w:val="171E4694"/>
    <w:rsid w:val="17D4504B"/>
    <w:rsid w:val="17EC02EE"/>
    <w:rsid w:val="180528A8"/>
    <w:rsid w:val="183879D7"/>
    <w:rsid w:val="18AA79BA"/>
    <w:rsid w:val="18D3419F"/>
    <w:rsid w:val="194A03C4"/>
    <w:rsid w:val="199E4F47"/>
    <w:rsid w:val="19A12DEB"/>
    <w:rsid w:val="19D516F7"/>
    <w:rsid w:val="1A8E7D82"/>
    <w:rsid w:val="1AB01DE5"/>
    <w:rsid w:val="1AE87493"/>
    <w:rsid w:val="1C5550AF"/>
    <w:rsid w:val="1CD16706"/>
    <w:rsid w:val="1D197DFC"/>
    <w:rsid w:val="1D1A5680"/>
    <w:rsid w:val="1D504D89"/>
    <w:rsid w:val="1DE37937"/>
    <w:rsid w:val="1E873B42"/>
    <w:rsid w:val="1EA908B4"/>
    <w:rsid w:val="1FA66331"/>
    <w:rsid w:val="1FDC3861"/>
    <w:rsid w:val="1FFF41D9"/>
    <w:rsid w:val="20B8181F"/>
    <w:rsid w:val="21380B95"/>
    <w:rsid w:val="21496E2B"/>
    <w:rsid w:val="21CC114B"/>
    <w:rsid w:val="21DE3799"/>
    <w:rsid w:val="21FA67F0"/>
    <w:rsid w:val="228D4259"/>
    <w:rsid w:val="22964ED5"/>
    <w:rsid w:val="229E518B"/>
    <w:rsid w:val="23083C6E"/>
    <w:rsid w:val="23753F06"/>
    <w:rsid w:val="23D52639"/>
    <w:rsid w:val="23FA5E66"/>
    <w:rsid w:val="24805A88"/>
    <w:rsid w:val="249E281E"/>
    <w:rsid w:val="24B95773"/>
    <w:rsid w:val="24CA3613"/>
    <w:rsid w:val="25645F55"/>
    <w:rsid w:val="25735758"/>
    <w:rsid w:val="26037828"/>
    <w:rsid w:val="261A6178"/>
    <w:rsid w:val="264B11E3"/>
    <w:rsid w:val="27A24E6D"/>
    <w:rsid w:val="27AD2ECC"/>
    <w:rsid w:val="27C42128"/>
    <w:rsid w:val="28BC1F5F"/>
    <w:rsid w:val="28E66AE2"/>
    <w:rsid w:val="29453D02"/>
    <w:rsid w:val="2A0D2069"/>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216A9F"/>
    <w:rsid w:val="2E5A289E"/>
    <w:rsid w:val="2E754011"/>
    <w:rsid w:val="2EA339A5"/>
    <w:rsid w:val="2F2C2755"/>
    <w:rsid w:val="2F7D2448"/>
    <w:rsid w:val="2F903A2D"/>
    <w:rsid w:val="2F9E588D"/>
    <w:rsid w:val="307512ED"/>
    <w:rsid w:val="30A070FC"/>
    <w:rsid w:val="30A95BF8"/>
    <w:rsid w:val="30AC45DC"/>
    <w:rsid w:val="310838D8"/>
    <w:rsid w:val="310B092C"/>
    <w:rsid w:val="3115220C"/>
    <w:rsid w:val="313D6FEC"/>
    <w:rsid w:val="324F225D"/>
    <w:rsid w:val="32AE3E87"/>
    <w:rsid w:val="32D06680"/>
    <w:rsid w:val="33923FE8"/>
    <w:rsid w:val="33FF1D43"/>
    <w:rsid w:val="34B41873"/>
    <w:rsid w:val="352F0261"/>
    <w:rsid w:val="35357F3F"/>
    <w:rsid w:val="36684EE8"/>
    <w:rsid w:val="37112707"/>
    <w:rsid w:val="373F07DB"/>
    <w:rsid w:val="374C2A5E"/>
    <w:rsid w:val="3830430D"/>
    <w:rsid w:val="38BE5C45"/>
    <w:rsid w:val="38D62BC9"/>
    <w:rsid w:val="38FE7A4A"/>
    <w:rsid w:val="39DB29D0"/>
    <w:rsid w:val="3A3F6855"/>
    <w:rsid w:val="3A6137A5"/>
    <w:rsid w:val="3BF8729B"/>
    <w:rsid w:val="3BFE93B0"/>
    <w:rsid w:val="3C1A2DCC"/>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95228E"/>
    <w:rsid w:val="4229496C"/>
    <w:rsid w:val="42450EE2"/>
    <w:rsid w:val="424D4759"/>
    <w:rsid w:val="42DD1321"/>
    <w:rsid w:val="435A1B2F"/>
    <w:rsid w:val="43996CCD"/>
    <w:rsid w:val="43FA23EB"/>
    <w:rsid w:val="441C2F44"/>
    <w:rsid w:val="450C2A0D"/>
    <w:rsid w:val="454F7B26"/>
    <w:rsid w:val="466955B1"/>
    <w:rsid w:val="4729480B"/>
    <w:rsid w:val="475F22C8"/>
    <w:rsid w:val="484C5130"/>
    <w:rsid w:val="48F454BF"/>
    <w:rsid w:val="497C5C27"/>
    <w:rsid w:val="49E40C09"/>
    <w:rsid w:val="4A421B4B"/>
    <w:rsid w:val="4A6F3B8F"/>
    <w:rsid w:val="4B2F253A"/>
    <w:rsid w:val="4B370BDC"/>
    <w:rsid w:val="4B417145"/>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E64B01"/>
    <w:rsid w:val="4F9E5658"/>
    <w:rsid w:val="4FAD34A3"/>
    <w:rsid w:val="4FF6B2ED"/>
    <w:rsid w:val="50115ABD"/>
    <w:rsid w:val="5025247B"/>
    <w:rsid w:val="506E04B6"/>
    <w:rsid w:val="511F2F07"/>
    <w:rsid w:val="51295B34"/>
    <w:rsid w:val="514B732D"/>
    <w:rsid w:val="51A115C7"/>
    <w:rsid w:val="51E1289C"/>
    <w:rsid w:val="52270AA9"/>
    <w:rsid w:val="523F2C29"/>
    <w:rsid w:val="52615888"/>
    <w:rsid w:val="528140BC"/>
    <w:rsid w:val="52E44D65"/>
    <w:rsid w:val="53E775E0"/>
    <w:rsid w:val="54580A3D"/>
    <w:rsid w:val="54B073C5"/>
    <w:rsid w:val="557B2E61"/>
    <w:rsid w:val="559D7257"/>
    <w:rsid w:val="56A47D45"/>
    <w:rsid w:val="56D43DA7"/>
    <w:rsid w:val="56FF0435"/>
    <w:rsid w:val="579D3F41"/>
    <w:rsid w:val="57D927D1"/>
    <w:rsid w:val="57FDA373"/>
    <w:rsid w:val="58606975"/>
    <w:rsid w:val="58711B6E"/>
    <w:rsid w:val="589E3BA7"/>
    <w:rsid w:val="592261E4"/>
    <w:rsid w:val="59260BAB"/>
    <w:rsid w:val="598A7839"/>
    <w:rsid w:val="59931C67"/>
    <w:rsid w:val="59E8609E"/>
    <w:rsid w:val="5A4A3FF7"/>
    <w:rsid w:val="5A7645F8"/>
    <w:rsid w:val="5B1D333C"/>
    <w:rsid w:val="5BAD60A4"/>
    <w:rsid w:val="5BBC0F6D"/>
    <w:rsid w:val="5BF4460A"/>
    <w:rsid w:val="5C1473E0"/>
    <w:rsid w:val="5C1802E8"/>
    <w:rsid w:val="5C2A57AD"/>
    <w:rsid w:val="5D1404EB"/>
    <w:rsid w:val="5D2522C4"/>
    <w:rsid w:val="5D7EB222"/>
    <w:rsid w:val="5D7F416C"/>
    <w:rsid w:val="5E351A19"/>
    <w:rsid w:val="5EC87A97"/>
    <w:rsid w:val="5F9023E4"/>
    <w:rsid w:val="5FAEFF39"/>
    <w:rsid w:val="5FAF13D7"/>
    <w:rsid w:val="60107A8F"/>
    <w:rsid w:val="60787ECC"/>
    <w:rsid w:val="608447A3"/>
    <w:rsid w:val="60931F2B"/>
    <w:rsid w:val="610D4955"/>
    <w:rsid w:val="61CC7834"/>
    <w:rsid w:val="629E7A04"/>
    <w:rsid w:val="62C15E60"/>
    <w:rsid w:val="63023DC6"/>
    <w:rsid w:val="630B32EB"/>
    <w:rsid w:val="63317169"/>
    <w:rsid w:val="636D6C72"/>
    <w:rsid w:val="639D001D"/>
    <w:rsid w:val="639D633D"/>
    <w:rsid w:val="63F52BCD"/>
    <w:rsid w:val="648B0ACF"/>
    <w:rsid w:val="648F5856"/>
    <w:rsid w:val="64D74B64"/>
    <w:rsid w:val="64E37763"/>
    <w:rsid w:val="65443991"/>
    <w:rsid w:val="65847385"/>
    <w:rsid w:val="65944781"/>
    <w:rsid w:val="65F25313"/>
    <w:rsid w:val="66AC21EA"/>
    <w:rsid w:val="66B23A7E"/>
    <w:rsid w:val="66BF0E71"/>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2E0AB2"/>
    <w:rsid w:val="6B564A4D"/>
    <w:rsid w:val="6BC03605"/>
    <w:rsid w:val="6BCB1646"/>
    <w:rsid w:val="6CA30A4B"/>
    <w:rsid w:val="6CB724A7"/>
    <w:rsid w:val="6CFC7FBB"/>
    <w:rsid w:val="6D2531FB"/>
    <w:rsid w:val="6D7A5963"/>
    <w:rsid w:val="6D8F4B19"/>
    <w:rsid w:val="6DCF1576"/>
    <w:rsid w:val="6DDF43C8"/>
    <w:rsid w:val="6E352CE2"/>
    <w:rsid w:val="6E86276D"/>
    <w:rsid w:val="6ECA001B"/>
    <w:rsid w:val="6EF0078F"/>
    <w:rsid w:val="6F280D81"/>
    <w:rsid w:val="6F3713AB"/>
    <w:rsid w:val="6F5969EF"/>
    <w:rsid w:val="6FBF0E3C"/>
    <w:rsid w:val="70025ED8"/>
    <w:rsid w:val="704459D8"/>
    <w:rsid w:val="705F07D2"/>
    <w:rsid w:val="70612CDA"/>
    <w:rsid w:val="70785D38"/>
    <w:rsid w:val="70A92A27"/>
    <w:rsid w:val="71350900"/>
    <w:rsid w:val="714B04FA"/>
    <w:rsid w:val="718669C1"/>
    <w:rsid w:val="71CE3BD4"/>
    <w:rsid w:val="71DE7EA3"/>
    <w:rsid w:val="72C70CBE"/>
    <w:rsid w:val="732628EC"/>
    <w:rsid w:val="73DD2FAD"/>
    <w:rsid w:val="73F75DEF"/>
    <w:rsid w:val="74055B35"/>
    <w:rsid w:val="740C6EC3"/>
    <w:rsid w:val="7576297E"/>
    <w:rsid w:val="75CA4333"/>
    <w:rsid w:val="75FD2E9D"/>
    <w:rsid w:val="75FE2E23"/>
    <w:rsid w:val="76621A2C"/>
    <w:rsid w:val="76947A22"/>
    <w:rsid w:val="769A7FC0"/>
    <w:rsid w:val="77A25CDB"/>
    <w:rsid w:val="78772AEC"/>
    <w:rsid w:val="79182DF3"/>
    <w:rsid w:val="792FF283"/>
    <w:rsid w:val="797D44CB"/>
    <w:rsid w:val="797DA5C9"/>
    <w:rsid w:val="79A656C4"/>
    <w:rsid w:val="79C75763"/>
    <w:rsid w:val="79EE2BC7"/>
    <w:rsid w:val="79FD2ABD"/>
    <w:rsid w:val="7A1A573F"/>
    <w:rsid w:val="7AAF2A0F"/>
    <w:rsid w:val="7AE11A5F"/>
    <w:rsid w:val="7B286E76"/>
    <w:rsid w:val="7B78265F"/>
    <w:rsid w:val="7B7C1CC3"/>
    <w:rsid w:val="7BB8016E"/>
    <w:rsid w:val="7BD37E14"/>
    <w:rsid w:val="7BF81913"/>
    <w:rsid w:val="7BFBAE69"/>
    <w:rsid w:val="7C7976D2"/>
    <w:rsid w:val="7CDC616D"/>
    <w:rsid w:val="7CF130FA"/>
    <w:rsid w:val="7D0F523E"/>
    <w:rsid w:val="7D20578D"/>
    <w:rsid w:val="7D347005"/>
    <w:rsid w:val="7D6C33E3"/>
    <w:rsid w:val="7D9615AC"/>
    <w:rsid w:val="7DDBBEA2"/>
    <w:rsid w:val="7E065EBC"/>
    <w:rsid w:val="7E111D4A"/>
    <w:rsid w:val="7E145045"/>
    <w:rsid w:val="7E3E5597"/>
    <w:rsid w:val="7E4EF7A1"/>
    <w:rsid w:val="7E6A13B3"/>
    <w:rsid w:val="7E96494B"/>
    <w:rsid w:val="7E9FB8F9"/>
    <w:rsid w:val="7EA82B88"/>
    <w:rsid w:val="7EC03B8C"/>
    <w:rsid w:val="7EE03426"/>
    <w:rsid w:val="7F014E72"/>
    <w:rsid w:val="7F3F3A1B"/>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8">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7"/>
    <w:autoRedefine/>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2"/>
    <w:autoRedefine/>
    <w:unhideWhenUsed/>
    <w:qFormat/>
    <w:uiPriority w:val="0"/>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ind w:left="720"/>
    </w:pPr>
    <w:rPr>
      <w:szCs w:val="20"/>
    </w:rPr>
  </w:style>
  <w:style w:type="paragraph" w:styleId="13">
    <w:name w:val="Body Text 2"/>
    <w:basedOn w:val="1"/>
    <w:autoRedefine/>
    <w:qFormat/>
    <w:uiPriority w:val="99"/>
    <w:pPr>
      <w:spacing w:after="120" w:line="480" w:lineRule="auto"/>
      <w:jc w:val="both"/>
    </w:pPr>
    <w:rPr>
      <w:rFonts w:ascii="Calibri" w:hAnsi="Calibri" w:eastAsia="宋体"/>
      <w:color w:val="auto"/>
      <w:kern w:val="2"/>
      <w:lang w:eastAsia="zh-CN" w:bidi="ar-SA"/>
    </w:rPr>
  </w:style>
  <w:style w:type="paragraph" w:styleId="14">
    <w:name w:val="Normal (Web)"/>
    <w:basedOn w:val="1"/>
    <w:autoRedefine/>
    <w:qFormat/>
    <w:uiPriority w:val="0"/>
    <w:pPr>
      <w:spacing w:beforeAutospacing="1" w:afterAutospacing="1"/>
      <w:jc w:val="left"/>
    </w:pPr>
    <w:rPr>
      <w:kern w:val="0"/>
      <w:sz w:val="24"/>
    </w:rPr>
  </w:style>
  <w:style w:type="paragraph" w:styleId="15">
    <w:name w:val="annotation subject"/>
    <w:basedOn w:val="5"/>
    <w:next w:val="5"/>
    <w:link w:val="28"/>
    <w:autoRedefine/>
    <w:unhideWhenUsed/>
    <w:qFormat/>
    <w:uiPriority w:val="99"/>
    <w:rPr>
      <w:b/>
      <w:bCs/>
    </w:rPr>
  </w:style>
  <w:style w:type="paragraph" w:styleId="16">
    <w:name w:val="Body Text First Indent 2"/>
    <w:basedOn w:val="7"/>
    <w:autoRedefine/>
    <w:qFormat/>
    <w:uiPriority w:val="0"/>
    <w:pPr>
      <w:ind w:firstLine="420" w:firstLineChars="200"/>
    </w:pPr>
    <w:rPr>
      <w:rFonts w:ascii="Times New Roman"/>
    </w:rPr>
  </w:style>
  <w:style w:type="character" w:styleId="19">
    <w:name w:val="Hyperlink"/>
    <w:autoRedefine/>
    <w:qFormat/>
    <w:uiPriority w:val="0"/>
    <w:rPr>
      <w:color w:val="0000FF"/>
      <w:u w:val="none"/>
    </w:rPr>
  </w:style>
  <w:style w:type="character" w:styleId="20">
    <w:name w:val="annotation reference"/>
    <w:basedOn w:val="18"/>
    <w:autoRedefine/>
    <w:unhideWhenUsed/>
    <w:qFormat/>
    <w:uiPriority w:val="99"/>
    <w:rPr>
      <w:sz w:val="21"/>
      <w:szCs w:val="21"/>
    </w:rPr>
  </w:style>
  <w:style w:type="character" w:customStyle="1" w:styleId="21">
    <w:name w:val="页眉 字符"/>
    <w:basedOn w:val="18"/>
    <w:link w:val="11"/>
    <w:autoRedefine/>
    <w:qFormat/>
    <w:uiPriority w:val="99"/>
    <w:rPr>
      <w:sz w:val="18"/>
      <w:szCs w:val="18"/>
    </w:rPr>
  </w:style>
  <w:style w:type="character" w:customStyle="1" w:styleId="22">
    <w:name w:val="页脚 字符"/>
    <w:basedOn w:val="18"/>
    <w:link w:val="10"/>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8"/>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8"/>
    <w:link w:val="9"/>
    <w:autoRedefine/>
    <w:semiHidden/>
    <w:qFormat/>
    <w:uiPriority w:val="99"/>
    <w:rPr>
      <w:kern w:val="2"/>
      <w:sz w:val="18"/>
      <w:szCs w:val="18"/>
    </w:rPr>
  </w:style>
  <w:style w:type="character" w:customStyle="1" w:styleId="27">
    <w:name w:val="批注文字 字符"/>
    <w:basedOn w:val="18"/>
    <w:link w:val="5"/>
    <w:autoRedefine/>
    <w:semiHidden/>
    <w:qFormat/>
    <w:uiPriority w:val="99"/>
    <w:rPr>
      <w:kern w:val="2"/>
      <w:sz w:val="21"/>
      <w:szCs w:val="24"/>
    </w:rPr>
  </w:style>
  <w:style w:type="character" w:customStyle="1" w:styleId="28">
    <w:name w:val="批注主题 字符"/>
    <w:basedOn w:val="27"/>
    <w:link w:val="15"/>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8"/>
    <w:link w:val="8"/>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12</Pages>
  <Words>5990</Words>
  <Characters>6445</Characters>
  <Lines>57</Lines>
  <Paragraphs>16</Paragraphs>
  <TotalTime>1</TotalTime>
  <ScaleCrop>false</ScaleCrop>
  <LinksUpToDate>false</LinksUpToDate>
  <CharactersWithSpaces>7095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2021-12-25T14:17:00Z</dcterms:created>
  <dc:creator>刘海燕</dc:creator>
  <cp:lastModifiedBy>雪 饼 "</cp:lastModifiedBy>
  <dcterms:modified xsi:type="dcterms:W3CDTF">2023-12-27T01:31:17Z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EC2164598FFD4EC19356ED42E4FC9297</vt:lpwstr>
  </property>
</Properties>
</file>