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宋体" w:hAnsi="宋体" w:cs="宋体"/>
          <w:b/>
          <w:bCs/>
          <w:kern w:val="0"/>
          <w:sz w:val="36"/>
          <w:szCs w:val="36"/>
        </w:rPr>
      </w:pPr>
      <w:r>
        <w:rPr>
          <w:rFonts w:hint="eastAsia" w:ascii="宋体" w:hAnsi="宋体" w:cs="宋体"/>
          <w:b/>
          <w:bCs/>
          <w:kern w:val="0"/>
          <w:sz w:val="36"/>
          <w:szCs w:val="36"/>
        </w:rPr>
        <w:t>蒙牛乳业武汉工厂防雷检测集中采购项目</w:t>
      </w:r>
    </w:p>
    <w:p>
      <w:pPr>
        <w:ind w:left="718" w:leftChars="342" w:firstLine="0" w:firstLineChars="0"/>
        <w:jc w:val="center"/>
        <w:rPr>
          <w:rFonts w:hint="eastAsia"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eastAsia="zh-CN"/>
        </w:rPr>
        <w:t>变更</w:t>
      </w:r>
      <w:r>
        <w:rPr>
          <w:rFonts w:hint="eastAsia" w:ascii="宋体" w:hAnsi="宋体" w:cs="宋体"/>
          <w:b/>
          <w:bCs/>
          <w:kern w:val="0"/>
          <w:sz w:val="36"/>
          <w:szCs w:val="36"/>
        </w:rPr>
        <w:t>公告</w:t>
      </w:r>
    </w:p>
    <w:p>
      <w:pPr>
        <w:ind w:left="0" w:leftChars="0" w:firstLine="560" w:firstLineChars="200"/>
        <w:jc w:val="left"/>
        <w:rPr>
          <w:rFonts w:ascii="宋体" w:hAnsi="宋体" w:cs="宋体"/>
          <w:b/>
          <w:bCs/>
          <w:kern w:val="0"/>
          <w:sz w:val="36"/>
          <w:szCs w:val="36"/>
        </w:rPr>
      </w:pPr>
      <w:r>
        <w:rPr>
          <w:rFonts w:hint="eastAsia" w:asciiTheme="minorEastAsia" w:hAnsiTheme="minorEastAsia" w:eastAsiaTheme="minorEastAsia"/>
          <w:sz w:val="28"/>
          <w:szCs w:val="28"/>
        </w:rPr>
        <w:t>蒙牛高科乳制品武汉有限责任公司就武汉工厂防雷检测集中采购项目进行公开询比价, 欢迎符合资格条件的供应商参加。</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MNCGJH-20240122-0011</w:t>
      </w:r>
    </w:p>
    <w:p>
      <w:pPr>
        <w:numPr>
          <w:ilvl w:val="0"/>
          <w:numId w:val="1"/>
        </w:numPr>
        <w:ind w:firstLine="562" w:firstLineChars="200"/>
        <w:rPr>
          <w:rFonts w:hint="eastAsia"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：蒙牛乳业武汉工厂防雷检测集中采购项目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武汉工厂（大院）鲜奶及低温按照要求开展防雷检测项目，其中低温工厂11个区域占地面积59415.07平米， 建筑面积共79722.79平米，鲜奶工厂6个区域占地面积26666.68平米， 建筑面积共17537平米，由第三方进行检测，并分别出具检测报告。</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（1）包括但不限于营业执照、开户行许可证、一般纳税人登记证、资质证书、法定代表人证明书、法定代表人授权委托书、近一年类似项目业绩表及其他证明材料等，具备</w:t>
      </w:r>
      <w:r>
        <w:rPr>
          <w:rFonts w:hint="eastAsia" w:asciiTheme="minorEastAsia" w:hAnsiTheme="minorEastAsia" w:eastAsiaTheme="minorEastAsia"/>
          <w:sz w:val="28"/>
          <w:szCs w:val="28"/>
          <w:lang w:eastAsia="zh-CN"/>
        </w:rPr>
        <w:t>防雷检测甲类资质范围</w:t>
      </w:r>
      <w:r>
        <w:rPr>
          <w:rFonts w:hint="eastAsia" w:asciiTheme="minorEastAsia" w:hAnsiTheme="minorEastAsia" w:eastAsiaTheme="minorEastAsia"/>
          <w:sz w:val="28"/>
          <w:szCs w:val="28"/>
        </w:rPr>
        <w:t>；</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（2）潜在竞价方未被列入“信用中国”官网（www.creditchina.gov.cn）及“国家企业信用信息公示系统”官网（www.gsxt.gov.cn/index.html）违法失信企业名单。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（5）不接受中粮及蒙牛供应商黑名单（以蒙牛集团采购执行管理部下发的黑名单为准）的企业参与竞争；</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4、能开具增值税发票的</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一般纳税人</w:t>
      </w:r>
      <w:r>
        <w:rPr>
          <w:rFonts w:hint="eastAsia" w:asciiTheme="minorEastAsia" w:hAnsiTheme="minorEastAsia" w:eastAsiaTheme="minorEastAsia"/>
          <w:b w:val="0"/>
          <w:bCs w:val="0"/>
          <w:color w:val="000000" w:themeColor="text1"/>
          <w:sz w:val="28"/>
          <w:szCs w:val="28"/>
          <w14:textFill>
            <w14:solidFill>
              <w14:schemeClr w14:val="tx1"/>
            </w14:solidFill>
          </w14:textFill>
        </w:rPr>
        <w:t>资格；</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6、近</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三</w:t>
      </w:r>
      <w:r>
        <w:rPr>
          <w:rFonts w:hint="eastAsia" w:asciiTheme="minorEastAsia" w:hAnsiTheme="minorEastAsia" w:eastAsiaTheme="minorEastAsia"/>
          <w:b w:val="0"/>
          <w:bCs w:val="0"/>
          <w:color w:val="000000" w:themeColor="text1"/>
          <w:sz w:val="28"/>
          <w:szCs w:val="28"/>
          <w14:textFill>
            <w14:solidFill>
              <w14:schemeClr w14:val="tx1"/>
            </w14:solidFill>
          </w14:textFill>
        </w:rPr>
        <w:t>年（202</w:t>
      </w:r>
      <w:r>
        <w:rPr>
          <w:rFonts w:asciiTheme="minorEastAsia" w:hAnsiTheme="minorEastAsia" w:eastAsia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b w:val="0"/>
          <w:bCs w:val="0"/>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7、数据保密协议（附件2）；</w:t>
      </w:r>
    </w:p>
    <w:p>
      <w:pPr>
        <w:ind w:firstLine="565" w:firstLineChars="202"/>
        <w:rPr>
          <w:rFonts w:hint="eastAsia" w:asciiTheme="minorEastAsia" w:hAnsiTheme="minorEastAsia" w:eastAsia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b w:val="0"/>
          <w:bCs w:val="0"/>
          <w:color w:val="000000" w:themeColor="text1"/>
          <w:sz w:val="28"/>
          <w:szCs w:val="28"/>
          <w14:textFill>
            <w14:solidFill>
              <w14:schemeClr w14:val="tx1"/>
            </w14:solidFill>
          </w14:textFill>
        </w:rPr>
        <w:t>8、</w:t>
      </w:r>
      <w:r>
        <w:rPr>
          <w:rFonts w:hint="eastAsia" w:asciiTheme="minorEastAsia" w:hAnsiTheme="minorEastAsia" w:eastAsiaTheme="minorEastAsia"/>
          <w:b w:val="0"/>
          <w:bCs w:val="0"/>
          <w:color w:val="000000" w:themeColor="text1"/>
          <w:sz w:val="28"/>
          <w:szCs w:val="28"/>
          <w:lang w:eastAsia="zh-CN"/>
          <w14:textFill>
            <w14:solidFill>
              <w14:schemeClr w14:val="tx1"/>
            </w14:solidFill>
          </w14:textFill>
        </w:rPr>
        <w:t>防雷检测资质文件；</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2</w:t>
      </w:r>
      <w:r>
        <w:rPr>
          <w:rFonts w:hint="eastAsia" w:asciiTheme="minorEastAsia" w:hAnsiTheme="minorEastAsia" w:eastAsiaTheme="minorEastAsia"/>
          <w:sz w:val="28"/>
          <w:szCs w:val="28"/>
          <w:u w:val="single"/>
          <w:lang w:val="en-US" w:eastAsia="zh-CN"/>
        </w:rPr>
        <w:t>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31</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业务咨询联系人：胡泽鹏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val="en-US" w:eastAsia="zh-CN"/>
        </w:rPr>
        <w:t xml:space="preserve">         </w:t>
      </w:r>
    </w:p>
    <w:p>
      <w:pPr>
        <w:ind w:firstLine="1400" w:firstLineChars="5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年1月</w:t>
      </w:r>
      <w:r>
        <w:rPr>
          <w:rFonts w:hint="eastAsia" w:asciiTheme="minorEastAsia" w:hAnsiTheme="minorEastAsia" w:eastAsiaTheme="minorEastAsia"/>
          <w:sz w:val="28"/>
          <w:szCs w:val="28"/>
          <w:lang w:val="en-US" w:eastAsia="zh-CN"/>
        </w:rPr>
        <w:t>30</w:t>
      </w:r>
      <w:bookmarkStart w:id="0" w:name="_GoBack"/>
      <w:bookmarkEnd w:id="0"/>
      <w:r>
        <w:rPr>
          <w:rFonts w:hint="eastAsia" w:asciiTheme="minorEastAsia" w:hAnsiTheme="minorEastAsia" w:eastAsiaTheme="minorEastAsia"/>
          <w:sz w:val="28"/>
          <w:szCs w:val="28"/>
        </w:rPr>
        <w:t>日</w:t>
      </w: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662311"/>
    <w:rsid w:val="08836374"/>
    <w:rsid w:val="0A656ED5"/>
    <w:rsid w:val="0FEF4BE8"/>
    <w:rsid w:val="117D42C9"/>
    <w:rsid w:val="11B7382B"/>
    <w:rsid w:val="144A6740"/>
    <w:rsid w:val="15E90C32"/>
    <w:rsid w:val="1AB52C49"/>
    <w:rsid w:val="1ACC7FAF"/>
    <w:rsid w:val="1D396814"/>
    <w:rsid w:val="20BD20FD"/>
    <w:rsid w:val="22734C6F"/>
    <w:rsid w:val="232E107A"/>
    <w:rsid w:val="27371532"/>
    <w:rsid w:val="273B7CB1"/>
    <w:rsid w:val="286A1085"/>
    <w:rsid w:val="2C104553"/>
    <w:rsid w:val="2D7B1951"/>
    <w:rsid w:val="2E9018D0"/>
    <w:rsid w:val="310164DE"/>
    <w:rsid w:val="34C65D65"/>
    <w:rsid w:val="3E1F1D11"/>
    <w:rsid w:val="3FF00C49"/>
    <w:rsid w:val="41053456"/>
    <w:rsid w:val="420610E4"/>
    <w:rsid w:val="42F10F85"/>
    <w:rsid w:val="439E2E7F"/>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8BF1763"/>
    <w:rsid w:val="797E7407"/>
    <w:rsid w:val="79EA5117"/>
    <w:rsid w:val="7A5D568A"/>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autoRedefine/>
    <w:qFormat/>
    <w:uiPriority w:val="0"/>
    <w:rPr>
      <w:color w:val="0000FF"/>
      <w:u w:val="non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3745</Characters>
  <Lines>31</Lines>
  <Paragraphs>8</Paragraphs>
  <TotalTime>1</TotalTime>
  <ScaleCrop>false</ScaleCrop>
  <LinksUpToDate>false</LinksUpToDate>
  <CharactersWithSpaces>4394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0002219</dc:creator>
  <cp:lastModifiedBy>GGGGG-Dragon</cp:lastModifiedBy>
  <dcterms:modified xsi:type="dcterms:W3CDTF">2024-01-30T03:55:44Z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590E3D2CC1AE467BA98E13BF1841ACFD_13</vt:lpwstr>
  </property>
</Properties>
</file>