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rPr>
        <w:t>蒙牛乳业低温通辽工厂红外探测仪采购项目</w:t>
      </w:r>
      <w:r>
        <w:rPr>
          <w:rFonts w:hint="eastAsia" w:ascii="宋体" w:hAnsi="宋体" w:cs="宋体"/>
          <w:b/>
          <w:bCs/>
          <w:kern w:val="0"/>
          <w:sz w:val="36"/>
          <w:szCs w:val="36"/>
        </w:rPr>
        <w:t>询比价信息公告</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内蒙古蒙牛乳业（集团）股份有限公</w:t>
      </w:r>
      <w:r>
        <w:rPr>
          <w:rFonts w:hint="eastAsia" w:ascii="仿宋_GB2312" w:hAnsi="宋体" w:eastAsia="仿宋_GB2312"/>
          <w:color w:val="auto"/>
          <w:sz w:val="28"/>
          <w:szCs w:val="28"/>
        </w:rPr>
        <w:t>司</w:t>
      </w:r>
      <w:r>
        <w:rPr>
          <w:rFonts w:hint="eastAsia" w:ascii="仿宋_GB2312" w:hAnsi="宋体" w:eastAsia="仿宋_GB2312"/>
          <w:color w:val="auto"/>
          <w:sz w:val="28"/>
          <w:szCs w:val="28"/>
          <w:u w:val="single"/>
          <w:lang w:val="en-US" w:eastAsia="zh-CN"/>
        </w:rPr>
        <w:t>低温</w:t>
      </w:r>
      <w:r>
        <w:rPr>
          <w:rFonts w:hint="eastAsia" w:ascii="仿宋_GB2312" w:hAnsi="宋体" w:eastAsia="仿宋_GB2312"/>
          <w:color w:val="auto"/>
          <w:sz w:val="28"/>
          <w:szCs w:val="28"/>
        </w:rPr>
        <w:t>事业部</w:t>
      </w:r>
      <w:r>
        <w:rPr>
          <w:rFonts w:hint="eastAsia" w:ascii="仿宋_GB2312" w:hAnsi="宋体" w:eastAsia="仿宋_GB2312"/>
          <w:sz w:val="28"/>
          <w:szCs w:val="28"/>
        </w:rPr>
        <w:t>就</w:t>
      </w:r>
      <w:r>
        <w:rPr>
          <w:rFonts w:hint="eastAsia" w:ascii="仿宋_GB2312" w:hAnsi="宋体" w:eastAsia="仿宋_GB2312"/>
          <w:color w:val="auto"/>
          <w:sz w:val="28"/>
          <w:szCs w:val="28"/>
          <w:u w:val="single"/>
          <w:lang w:val="en-US" w:eastAsia="zh-CN"/>
        </w:rPr>
        <w:t>蒙牛乳业低温通辽工厂红外探测仪采购项目</w:t>
      </w:r>
      <w:r>
        <w:rPr>
          <w:rFonts w:hint="eastAsia" w:ascii="仿宋_GB2312" w:hAnsi="宋体" w:eastAsia="仿宋_GB2312"/>
          <w:color w:val="auto"/>
          <w:sz w:val="28"/>
          <w:szCs w:val="28"/>
          <w:u w:val="none"/>
          <w:lang w:val="en-US" w:eastAsia="zh-CN"/>
        </w:rPr>
        <w:t>进行询比价, 欢迎符合</w:t>
      </w:r>
      <w:r>
        <w:rPr>
          <w:rFonts w:hint="eastAsia" w:ascii="仿宋_GB2312" w:hAnsi="宋体" w:eastAsia="仿宋_GB2312"/>
          <w:sz w:val="28"/>
          <w:szCs w:val="28"/>
        </w:rPr>
        <w:t>资格条件的供应商参加。</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项目编号：</w:t>
      </w:r>
      <w:r>
        <w:rPr>
          <w:rFonts w:hint="eastAsia" w:ascii="仿宋_GB2312" w:hAnsi="宋体" w:eastAsia="仿宋_GB2312"/>
          <w:color w:val="auto"/>
          <w:sz w:val="28"/>
          <w:szCs w:val="28"/>
          <w:lang w:val="en-US" w:eastAsia="zh-CN"/>
        </w:rPr>
        <w:t>MNCGJH-20240311-0009</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color w:val="auto"/>
          <w:sz w:val="28"/>
          <w:szCs w:val="28"/>
          <w:lang w:val="en-US" w:eastAsia="zh-CN"/>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sz w:val="28"/>
          <w:szCs w:val="28"/>
          <w:u w:val="none"/>
        </w:rPr>
        <w:t>蒙牛乳业低温通辽工厂</w:t>
      </w:r>
      <w:r>
        <w:rPr>
          <w:rFonts w:hint="eastAsia" w:ascii="仿宋_GB2312" w:hAnsi="宋体" w:eastAsia="仿宋_GB2312"/>
          <w:sz w:val="28"/>
          <w:szCs w:val="28"/>
          <w:u w:val="none"/>
          <w:lang w:val="en-US" w:eastAsia="zh-CN"/>
        </w:rPr>
        <w:t>红外探测仪采购</w:t>
      </w:r>
      <w:r>
        <w:rPr>
          <w:rFonts w:hint="eastAsia" w:ascii="仿宋_GB2312" w:hAnsi="宋体" w:eastAsia="仿宋_GB2312"/>
          <w:color w:val="auto"/>
          <w:sz w:val="28"/>
          <w:szCs w:val="28"/>
          <w:u w:val="none"/>
          <w:lang w:val="en-US" w:eastAsia="zh-CN"/>
        </w:rPr>
        <w:t>项</w:t>
      </w:r>
      <w:r>
        <w:rPr>
          <w:rFonts w:hint="eastAsia" w:ascii="仿宋_GB2312" w:hAnsi="宋体" w:eastAsia="仿宋_GB2312"/>
          <w:color w:val="auto"/>
          <w:sz w:val="28"/>
          <w:szCs w:val="28"/>
          <w:lang w:val="en-US" w:eastAsia="zh-CN"/>
        </w:rPr>
        <w:t>目</w:t>
      </w:r>
    </w:p>
    <w:p>
      <w:pPr>
        <w:keepNext w:val="0"/>
        <w:keepLines w:val="0"/>
        <w:pageBreakBefore w:val="0"/>
        <w:numPr>
          <w:ilvl w:val="0"/>
          <w:numId w:val="1"/>
        </w:numPr>
        <w:kinsoku/>
        <w:wordWrap/>
        <w:overflowPunct/>
        <w:topLinePunct w:val="0"/>
        <w:autoSpaceDE/>
        <w:autoSpaceDN/>
        <w:bidi w:val="0"/>
        <w:adjustRightInd/>
        <w:spacing w:line="440" w:lineRule="exact"/>
        <w:ind w:left="0" w:leftChars="0" w:firstLine="562" w:firstLineChars="200"/>
        <w:textAlignment w:val="auto"/>
        <w:rPr>
          <w:rFonts w:hint="eastAsia" w:ascii="仿宋_GB2312" w:hAnsi="宋体" w:eastAsia="仿宋_GB2312"/>
          <w:b/>
          <w:color w:val="auto"/>
          <w:sz w:val="28"/>
          <w:szCs w:val="28"/>
        </w:rPr>
      </w:pPr>
      <w:r>
        <w:rPr>
          <w:rFonts w:hint="eastAsia" w:ascii="仿宋_GB2312" w:hAnsi="宋体" w:eastAsia="仿宋_GB2312"/>
          <w:b/>
          <w:color w:val="auto"/>
          <w:sz w:val="28"/>
          <w:szCs w:val="28"/>
        </w:rPr>
        <w:t>项目概况：</w:t>
      </w:r>
    </w:p>
    <w:p>
      <w:pPr>
        <w:pStyle w:val="16"/>
        <w:keepNext w:val="0"/>
        <w:keepLines w:val="0"/>
        <w:pageBreakBefore w:val="0"/>
        <w:widowControl w:val="0"/>
        <w:tabs>
          <w:tab w:val="left" w:pos="1134"/>
          <w:tab w:val="left" w:pos="1701"/>
        </w:tabs>
        <w:kinsoku/>
        <w:wordWrap/>
        <w:overflowPunct/>
        <w:topLinePunct w:val="0"/>
        <w:autoSpaceDE/>
        <w:autoSpaceDN/>
        <w:bidi w:val="0"/>
        <w:adjustRightInd/>
        <w:snapToGrid/>
        <w:spacing w:line="480" w:lineRule="exact"/>
        <w:ind w:left="7" w:leftChars="0"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低温通辽工厂为了检测罐体内喷淋球，垫圈，搅拌，低液位等异常情况，现需申购红外探测仪，替代员工下罐作业。</w:t>
      </w:r>
    </w:p>
    <w:p>
      <w:pPr>
        <w:keepNext w:val="0"/>
        <w:keepLines w:val="0"/>
        <w:pageBreakBefore w:val="0"/>
        <w:numPr>
          <w:ilvl w:val="0"/>
          <w:numId w:val="2"/>
        </w:numPr>
        <w:kinsoku/>
        <w:wordWrap/>
        <w:overflowPunct/>
        <w:topLinePunct w:val="0"/>
        <w:autoSpaceDE/>
        <w:autoSpaceDN/>
        <w:bidi w:val="0"/>
        <w:adjustRightInd/>
        <w:spacing w:line="440" w:lineRule="exact"/>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资格要求：</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_GB2312" w:eastAsia="仿宋_GB2312" w:cs="仿宋_GB2312"/>
          <w:color w:val="auto"/>
          <w:sz w:val="28"/>
          <w:szCs w:val="28"/>
          <w:lang w:val="en-US" w:eastAsia="zh-CN"/>
        </w:rPr>
        <w:t>1）报名需提供</w:t>
      </w:r>
      <w:r>
        <w:rPr>
          <w:rFonts w:hint="eastAsia" w:ascii="仿宋_GB2312" w:hAnsi="仿宋_GB2312" w:eastAsia="仿宋_GB2312" w:cs="仿宋_GB2312"/>
          <w:color w:val="auto"/>
          <w:sz w:val="28"/>
          <w:szCs w:val="28"/>
        </w:rPr>
        <w:t>年检合格的营业执照、组织机构代码证、税务登记证、资质证书、实施许可的提供相关许可证书、法定代表人证明书、法定代表人授权委托书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及其他证明材料等。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rPr>
      </w:pPr>
      <w:r>
        <w:rPr>
          <w:rFonts w:hint="eastAsia" w:ascii="仿宋_GB2312" w:hAnsi="仿宋" w:eastAsia="仿宋_GB2312"/>
          <w:bCs/>
          <w:sz w:val="28"/>
          <w:szCs w:val="28"/>
          <w:lang w:val="en-US" w:eastAsia="zh-CN"/>
        </w:rPr>
        <w:t>2）</w:t>
      </w:r>
      <w:r>
        <w:rPr>
          <w:rFonts w:hint="eastAsia" w:ascii="仿宋_GB2312" w:hAnsi="仿宋" w:eastAsia="仿宋_GB2312"/>
          <w:bCs/>
          <w:sz w:val="28"/>
          <w:szCs w:val="28"/>
        </w:rPr>
        <w:t>竞谈人</w:t>
      </w:r>
      <w:r>
        <w:rPr>
          <w:rFonts w:hint="eastAsia" w:ascii="仿宋_GB2312" w:hAnsi="仿宋" w:eastAsia="仿宋_GB2312"/>
          <w:bCs/>
          <w:sz w:val="28"/>
          <w:szCs w:val="28"/>
          <w:lang w:val="en-US" w:eastAsia="zh-CN"/>
        </w:rPr>
        <w:t>近两</w:t>
      </w:r>
      <w:r>
        <w:rPr>
          <w:rFonts w:hint="eastAsia" w:ascii="仿宋_GB2312" w:hAnsi="仿宋" w:eastAsia="仿宋_GB2312"/>
          <w:bCs/>
          <w:sz w:val="28"/>
          <w:szCs w:val="28"/>
        </w:rPr>
        <w:t>年须具有两个及以上类似项目业绩（以合同为准）；</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 w:eastAsia="仿宋_GB2312"/>
          <w:bCs/>
          <w:sz w:val="28"/>
          <w:szCs w:val="28"/>
          <w:lang w:eastAsia="zh-CN"/>
        </w:rPr>
      </w:pPr>
      <w:r>
        <w:rPr>
          <w:rFonts w:hint="eastAsia" w:ascii="仿宋_GB2312" w:hAnsi="仿宋" w:eastAsia="仿宋_GB2312"/>
          <w:bCs/>
          <w:sz w:val="28"/>
          <w:szCs w:val="28"/>
          <w:lang w:val="en-US" w:eastAsia="zh-CN"/>
        </w:rPr>
        <w:t>3）</w:t>
      </w:r>
      <w:r>
        <w:rPr>
          <w:rFonts w:hint="eastAsia" w:ascii="仿宋_GB2312" w:hAnsi="仿宋" w:eastAsia="仿宋_GB2312"/>
          <w:bCs/>
          <w:sz w:val="28"/>
          <w:szCs w:val="28"/>
        </w:rPr>
        <w:t>竞谈人近</w:t>
      </w:r>
      <w:r>
        <w:rPr>
          <w:rFonts w:hint="eastAsia" w:ascii="仿宋_GB2312" w:hAnsi="仿宋" w:eastAsia="仿宋_GB2312"/>
          <w:bCs/>
          <w:sz w:val="28"/>
          <w:szCs w:val="28"/>
          <w:lang w:val="en-US" w:eastAsia="zh-CN"/>
        </w:rPr>
        <w:t>一</w:t>
      </w:r>
      <w:r>
        <w:rPr>
          <w:rFonts w:hint="eastAsia" w:ascii="仿宋_GB2312" w:hAnsi="仿宋" w:eastAsia="仿宋_GB2312"/>
          <w:bCs/>
          <w:sz w:val="28"/>
          <w:szCs w:val="28"/>
        </w:rPr>
        <w:t>年须具有财务报表或经第三方审计的财务报告；</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 w:eastAsia="仿宋_GB2312"/>
          <w:bCs/>
          <w:sz w:val="28"/>
          <w:szCs w:val="28"/>
          <w:lang w:val="en-US" w:eastAsia="zh-CN"/>
        </w:rPr>
        <w:t>4）</w:t>
      </w:r>
      <w:r>
        <w:rPr>
          <w:rFonts w:hint="eastAsia" w:ascii="仿宋_GB2312" w:hAnsi="仿宋" w:eastAsia="仿宋_GB2312"/>
          <w:bCs/>
          <w:sz w:val="28"/>
          <w:szCs w:val="28"/>
        </w:rPr>
        <w:t>竞谈人须具备一般纳税人资格</w:t>
      </w:r>
      <w:r>
        <w:rPr>
          <w:rFonts w:hint="eastAsia" w:ascii="仿宋_GB2312" w:hAnsi="仿宋" w:eastAsia="仿宋_GB2312"/>
          <w:bCs/>
          <w:sz w:val="28"/>
          <w:szCs w:val="28"/>
          <w:lang w:eastAsia="zh-CN"/>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r>
        <w:rPr>
          <w:rFonts w:hint="eastAsia" w:ascii="仿宋_GB2312" w:hAnsi="仿宋_GB2312" w:eastAsia="仿宋_GB2312" w:cs="仿宋_GB2312"/>
          <w:sz w:val="28"/>
          <w:szCs w:val="28"/>
        </w:rPr>
        <w:t>竞价人未被列入国家企业信用信息公示系统（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"http://www.gsxt.gov.cn/index.html%EF%BC%89%E4%B8%A5%E9%87%8D%E8%BF%9D%E6%B3%95%E5%A4%B1%E4%BF%A1%E4%BC%81%E4%B8%9A%E5%90%8D%E5%8D%95"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http://www.gsxt.gov.cn/index.html）严重违法失信企业名单</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hAnsi="仿宋_GB2312" w:eastAsia="仿宋_GB2312" w:cs="仿宋_GB2312"/>
          <w:color w:val="FF0000"/>
          <w:kern w:val="2"/>
          <w:sz w:val="28"/>
          <w:szCs w:val="28"/>
          <w:lang w:val="en-US" w:eastAsia="zh-CN" w:bidi="ar-SA"/>
        </w:rPr>
        <w:t>最先报名</w:t>
      </w:r>
      <w:r>
        <w:rPr>
          <w:rFonts w:hint="eastAsia" w:ascii="仿宋_GB2312" w:hAnsi="仿宋_GB2312" w:eastAsia="仿宋_GB2312" w:cs="仿宋_GB2312"/>
          <w:color w:val="auto"/>
          <w:kern w:val="2"/>
          <w:sz w:val="28"/>
          <w:szCs w:val="28"/>
          <w:lang w:val="en-US" w:eastAsia="zh-CN" w:bidi="ar-SA"/>
        </w:rPr>
        <w:t>或根据需求设定）的竞价方参与竞争；</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2"/>
          <w:sz w:val="28"/>
          <w:szCs w:val="28"/>
          <w:lang w:val="en-US" w:eastAsia="zh-CN" w:bidi="ar-SA"/>
        </w:rPr>
        <w:t>7）本次询比价不接受多家单位联合报价，不允许分包或转包。</w:t>
      </w:r>
    </w:p>
    <w:p>
      <w:pPr>
        <w:keepNext w:val="0"/>
        <w:keepLines w:val="0"/>
        <w:pageBreakBefore w:val="0"/>
        <w:numPr>
          <w:ilvl w:val="0"/>
          <w:numId w:val="0"/>
        </w:numPr>
        <w:kinsoku/>
        <w:wordWrap/>
        <w:overflowPunct/>
        <w:topLinePunct w:val="0"/>
        <w:autoSpaceDE/>
        <w:autoSpaceDN/>
        <w:bidi w:val="0"/>
        <w:adjustRightInd/>
        <w:spacing w:line="44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pacing w:line="440" w:lineRule="exact"/>
        <w:ind w:firstLine="562" w:firstLineChars="200"/>
        <w:jc w:val="left"/>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Style w:val="13"/>
          <w:sz w:val="32"/>
        </w:rPr>
      </w:pPr>
      <w:r>
        <w:fldChar w:fldCharType="begin"/>
      </w:r>
      <w:r>
        <w:instrText xml:space="preserve"> HYPERLINK "https://zbcg.mengniu.cn/" \l "/home" \t "_blank" </w:instrText>
      </w:r>
      <w:r>
        <w:fldChar w:fldCharType="separate"/>
      </w:r>
      <w:r>
        <w:rPr>
          <w:rStyle w:val="13"/>
          <w:rFonts w:hint="eastAsia" w:ascii="仿宋_GB2312" w:hAnsi="宋体" w:eastAsia="仿宋_GB2312"/>
          <w:sz w:val="30"/>
          <w:szCs w:val="30"/>
        </w:rPr>
        <w:t>https://zbcg.mengniu.cn/#/home</w:t>
      </w:r>
      <w:r>
        <w:rPr>
          <w:rStyle w:val="13"/>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keepNext w:val="0"/>
        <w:keepLines w:val="0"/>
        <w:pageBreakBefore w:val="0"/>
        <w:kinsoku/>
        <w:wordWrap/>
        <w:overflowPunct/>
        <w:topLinePunct w:val="0"/>
        <w:autoSpaceDE/>
        <w:autoSpaceDN/>
        <w:bidi w:val="0"/>
        <w:adjustRightInd/>
        <w:spacing w:line="440" w:lineRule="exact"/>
        <w:ind w:firstLine="602" w:firstLineChars="200"/>
        <w:jc w:val="left"/>
        <w:textAlignment w:val="auto"/>
        <w:rPr>
          <w:rFonts w:ascii="仿宋_GB2312" w:hAnsi="宋体" w:eastAsia="仿宋_GB2312"/>
          <w:b/>
          <w:i w:val="0"/>
          <w:iCs/>
          <w:color w:val="FF0000"/>
          <w:sz w:val="30"/>
          <w:szCs w:val="30"/>
        </w:rPr>
      </w:pPr>
      <w:r>
        <w:rPr>
          <w:rFonts w:hint="eastAsia" w:ascii="仿宋_GB2312" w:hAnsi="宋体" w:eastAsia="仿宋_GB2312"/>
          <w:b/>
          <w:i w:val="0"/>
          <w:iCs/>
          <w:color w:val="FF0000"/>
          <w:sz w:val="30"/>
          <w:szCs w:val="30"/>
        </w:rPr>
        <w:t>或：登录蒙牛供应商关系管理平台报名</w:t>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3"/>
          <w:rFonts w:hint="eastAsia" w:ascii="仿宋_GB2312" w:hAnsi="宋体" w:eastAsia="仿宋_GB2312"/>
          <w:sz w:val="30"/>
          <w:szCs w:val="30"/>
        </w:rPr>
        <w:t>https://srm.mengniu.cn/sap/bc/webdynpro/sap/zregistration</w:t>
      </w:r>
      <w:r>
        <w:rPr>
          <w:rStyle w:val="13"/>
          <w:rFonts w:hint="eastAsia" w:ascii="仿宋_GB2312" w:hAnsi="宋体" w:eastAsia="仿宋_GB2312"/>
          <w:sz w:val="30"/>
          <w:szCs w:val="30"/>
        </w:rPr>
        <w:fldChar w:fldCharType="end"/>
      </w:r>
    </w:p>
    <w:p>
      <w:pPr>
        <w:keepNext w:val="0"/>
        <w:keepLines w:val="0"/>
        <w:pageBreakBefore w:val="0"/>
        <w:kinsoku/>
        <w:wordWrap/>
        <w:overflowPunct/>
        <w:topLinePunct w:val="0"/>
        <w:autoSpaceDE/>
        <w:autoSpaceDN/>
        <w:bidi w:val="0"/>
        <w:adjustRightInd/>
        <w:spacing w:line="440" w:lineRule="exact"/>
        <w:ind w:firstLine="600" w:firstLineChars="200"/>
        <w:jc w:val="left"/>
        <w:textAlignment w:val="auto"/>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两</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7、实施许可的提供相关许可证书；</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cs="仿宋" w:asciiTheme="minorEastAsia" w:hAnsiTheme="minorEastAsia" w:eastAsiaTheme="minorEastAsia"/>
          <w:b/>
          <w:sz w:val="28"/>
          <w:szCs w:val="28"/>
        </w:rPr>
      </w:pPr>
      <w:r>
        <w:rPr>
          <w:rFonts w:hint="eastAsia" w:ascii="仿宋_GB2312" w:hAnsi="宋体" w:eastAsia="仿宋_GB2312"/>
          <w:color w:val="FF0000"/>
          <w:sz w:val="28"/>
          <w:szCs w:val="28"/>
        </w:rPr>
        <w:t>8、保密承诺书；</w:t>
      </w:r>
      <w:r>
        <w:rPr>
          <w:rFonts w:cs="仿宋" w:asciiTheme="minorEastAsia" w:hAnsiTheme="minorEastAsia" w:eastAsiaTheme="minorEastAsia"/>
          <w:b/>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5" w:firstLineChars="202"/>
        <w:jc w:val="left"/>
        <w:textAlignment w:val="auto"/>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keepNext w:val="0"/>
        <w:keepLines w:val="0"/>
        <w:pageBreakBefore w:val="0"/>
        <w:kinsoku/>
        <w:wordWrap/>
        <w:overflowPunct/>
        <w:topLinePunct w:val="0"/>
        <w:autoSpaceDE/>
        <w:autoSpaceDN/>
        <w:bidi w:val="0"/>
        <w:adjustRightInd/>
        <w:spacing w:line="440" w:lineRule="exact"/>
        <w:ind w:firstLine="565" w:firstLineChars="202"/>
        <w:textAlignment w:val="auto"/>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日发放询价单。</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蒙牛集团电子采购招标平台</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2" w:firstLineChars="200"/>
        <w:jc w:val="left"/>
        <w:textAlignment w:val="auto"/>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keepNext w:val="0"/>
        <w:keepLines w:val="0"/>
        <w:pageBreakBefore w:val="0"/>
        <w:shd w:val="clear" w:color="auto" w:fill="FFFFFF"/>
        <w:kinsoku/>
        <w:wordWrap/>
        <w:overflowPunct/>
        <w:topLinePunct w:val="0"/>
        <w:autoSpaceDE/>
        <w:autoSpaceDN/>
        <w:bidi w:val="0"/>
        <w:adjustRightInd/>
        <w:snapToGrid w:val="0"/>
        <w:spacing w:line="440" w:lineRule="exact"/>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 xml:space="preserve">业务咨询联系人： </w:t>
      </w:r>
      <w:r>
        <w:rPr>
          <w:rFonts w:hint="eastAsia" w:ascii="仿宋_GB2312" w:hAnsi="宋体" w:eastAsia="仿宋_GB2312"/>
          <w:sz w:val="28"/>
          <w:szCs w:val="28"/>
          <w:lang w:val="en-US" w:eastAsia="zh-CN"/>
        </w:rPr>
        <w:t>孔艳</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18004756075</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sz w:val="28"/>
          <w:szCs w:val="28"/>
          <w:highlight w:val="none"/>
        </w:rPr>
      </w:pPr>
      <w:r>
        <w:rPr>
          <w:rFonts w:hint="eastAsia" w:ascii="仿宋" w:hAnsi="仿宋" w:eastAsia="仿宋"/>
          <w:color w:val="FF0000"/>
          <w:sz w:val="28"/>
          <w:szCs w:val="28"/>
          <w:highlight w:val="none"/>
        </w:rPr>
        <w:t>电子</w:t>
      </w:r>
      <w:r>
        <w:rPr>
          <w:rFonts w:hint="eastAsia" w:ascii="仿宋" w:hAnsi="仿宋" w:eastAsia="仿宋" w:cs="Times New Roman"/>
          <w:color w:val="FF0000"/>
          <w:sz w:val="28"/>
          <w:szCs w:val="28"/>
          <w:highlight w:val="none"/>
        </w:rPr>
        <w:t>邮件：</w:t>
      </w:r>
      <w:r>
        <w:rPr>
          <w:rFonts w:hint="eastAsia" w:ascii="仿宋_GB2312" w:hAnsi="宋体" w:eastAsia="仿宋_GB2312" w:cs="Times New Roman"/>
          <w:sz w:val="28"/>
          <w:szCs w:val="28"/>
          <w:highlight w:val="none"/>
        </w:rPr>
        <w:t>panhong@mengniu.cn</w:t>
      </w: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3"/>
          <w:rFonts w:hint="eastAsia" w:ascii="微软雅黑" w:hAnsi="微软雅黑" w:eastAsia="微软雅黑"/>
          <w:sz w:val="22"/>
          <w:szCs w:val="21"/>
          <w:highlight w:val="none"/>
          <w:shd w:val="clear" w:color="auto" w:fill="FFFFFF"/>
        </w:rPr>
        <w:t>https://zbcg.mengniu.cn/#/home</w:t>
      </w:r>
      <w:r>
        <w:rPr>
          <w:rStyle w:val="13"/>
          <w:rFonts w:hint="eastAsia" w:ascii="微软雅黑" w:hAnsi="微软雅黑" w:eastAsia="微软雅黑"/>
          <w:sz w:val="22"/>
          <w:szCs w:val="21"/>
          <w:highlight w:val="none"/>
          <w:shd w:val="clear" w:color="auto" w:fill="FFFFFF"/>
        </w:rPr>
        <w:fldChar w:fldCharType="end"/>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_GB2312" w:hAnsi="宋体" w:eastAsia="仿宋_GB2312"/>
          <w:sz w:val="28"/>
          <w:szCs w:val="28"/>
          <w:highlight w:val="none"/>
        </w:rPr>
      </w:pPr>
    </w:p>
    <w:p>
      <w:pPr>
        <w:keepNext w:val="0"/>
        <w:keepLines w:val="0"/>
        <w:pageBreakBefore w:val="0"/>
        <w:kinsoku/>
        <w:wordWrap/>
        <w:overflowPunct/>
        <w:topLinePunct w:val="0"/>
        <w:autoSpaceDE/>
        <w:autoSpaceDN/>
        <w:bidi w:val="0"/>
        <w:adjustRightInd/>
        <w:spacing w:line="440" w:lineRule="exact"/>
        <w:ind w:firstLine="560" w:firstLineChars="200"/>
        <w:jc w:val="left"/>
        <w:textAlignment w:val="auto"/>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keepNext w:val="0"/>
        <w:keepLines w:val="0"/>
        <w:pageBreakBefore w:val="0"/>
        <w:kinsoku/>
        <w:wordWrap/>
        <w:overflowPunct/>
        <w:topLinePunct w:val="0"/>
        <w:autoSpaceDE/>
        <w:autoSpaceDN/>
        <w:bidi w:val="0"/>
        <w:adjustRightInd/>
        <w:spacing w:line="440" w:lineRule="exact"/>
        <w:ind w:firstLine="1416" w:firstLineChars="506"/>
        <w:jc w:val="left"/>
        <w:textAlignment w:val="auto"/>
        <w:rPr>
          <w:rFonts w:ascii="仿宋_GB2312" w:hAnsi="宋体" w:eastAsia="仿宋_GB2312" w:cs="仿宋"/>
          <w:sz w:val="30"/>
          <w:szCs w:val="30"/>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pPr>
        <w:keepNext w:val="0"/>
        <w:keepLines w:val="0"/>
        <w:pageBreakBefore w:val="0"/>
        <w:kinsoku/>
        <w:wordWrap/>
        <w:overflowPunct/>
        <w:topLinePunct w:val="0"/>
        <w:autoSpaceDE/>
        <w:autoSpaceDN/>
        <w:bidi w:val="0"/>
        <w:adjustRightInd/>
        <w:spacing w:line="440" w:lineRule="exact"/>
        <w:ind w:right="-514" w:rightChars="0"/>
        <w:jc w:val="center"/>
        <w:textAlignment w:val="auto"/>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通辽市蒙牛乳制品</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 xml:space="preserve">月 </w:t>
      </w:r>
      <w:r>
        <w:rPr>
          <w:rFonts w:hint="eastAsia" w:ascii="仿宋_GB2312" w:hAnsi="宋体" w:eastAsia="仿宋_GB2312" w:cs="仿宋"/>
          <w:sz w:val="30"/>
          <w:szCs w:val="30"/>
          <w:lang w:val="en-US" w:eastAsia="zh-CN"/>
        </w:rPr>
        <w:t>12</w:t>
      </w:r>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tbl>
      <w:tblPr>
        <w:tblStyle w:val="10"/>
        <w:tblpPr w:leftFromText="180" w:rightFromText="180" w:vertAnchor="text" w:horzAnchor="page" w:tblpX="1410" w:tblpY="362"/>
        <w:tblOverlap w:val="never"/>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b/>
          <w:kern w:val="0"/>
          <w:sz w:val="36"/>
          <w:szCs w:val="36"/>
        </w:rPr>
      </w:pPr>
    </w:p>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lang w:val="en-US" w:eastAsia="zh-CN"/>
        </w:rPr>
        <w:t>通辽市蒙牛乳制品有限责任公司</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9"/>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9"/>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地址：内蒙古自治区通辽市开发区辽河大街以北甘旗卡路以西</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baseline"/>
        <w:rPr>
          <w:rFonts w:hint="eastAsia" w:ascii="仿宋" w:hAnsi="仿宋" w:eastAsia="仿宋" w:cs="仿宋"/>
          <w:color w:val="000000"/>
          <w:kern w:val="0"/>
          <w:sz w:val="24"/>
        </w:rPr>
      </w:pP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color w:val="000000"/>
          <w:kern w:val="0"/>
          <w:sz w:val="24"/>
          <w:szCs w:val="24"/>
          <w:u w:val="single"/>
        </w:rPr>
        <w:t>蒙牛乳业低温通辽工厂</w:t>
      </w:r>
      <w:r>
        <w:rPr>
          <w:rFonts w:hint="eastAsia" w:ascii="仿宋" w:hAnsi="仿宋" w:eastAsia="仿宋" w:cs="仿宋"/>
          <w:color w:val="000000"/>
          <w:kern w:val="0"/>
          <w:sz w:val="24"/>
          <w:szCs w:val="24"/>
          <w:u w:val="single"/>
          <w:lang w:val="en-US" w:eastAsia="zh-CN"/>
        </w:rPr>
        <w:t>红外探测仪采购</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7"/>
        <w:keepNext w:val="0"/>
        <w:keepLines w:val="0"/>
        <w:pageBreakBefore w:val="0"/>
        <w:kinsoku/>
        <w:wordWrap/>
        <w:overflowPunct/>
        <w:topLinePunct w:val="0"/>
        <w:autoSpaceDE/>
        <w:autoSpaceDN/>
        <w:bidi w:val="0"/>
        <w:spacing w:line="30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7"/>
        <w:keepNext w:val="0"/>
        <w:keepLines w:val="0"/>
        <w:pageBreakBefore w:val="0"/>
        <w:kinsoku/>
        <w:wordWrap/>
        <w:overflowPunct/>
        <w:topLinePunct w:val="0"/>
        <w:autoSpaceDE/>
        <w:autoSpaceDN/>
        <w:bidi w:val="0"/>
        <w:spacing w:line="30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keepNext w:val="0"/>
        <w:keepLines w:val="0"/>
        <w:pageBreakBefore w:val="0"/>
        <w:kinsoku/>
        <w:wordWrap/>
        <w:overflowPunct/>
        <w:topLinePunct w:val="0"/>
        <w:autoSpaceDE/>
        <w:autoSpaceDN/>
        <w:bidi w:val="0"/>
        <w:spacing w:line="30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4"/>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keepNext w:val="0"/>
        <w:keepLines w:val="0"/>
        <w:pageBreakBefore w:val="0"/>
        <w:kinsoku/>
        <w:wordWrap/>
        <w:overflowPunct/>
        <w:topLinePunct w:val="0"/>
        <w:autoSpaceDE/>
        <w:autoSpaceDN/>
        <w:bidi w:val="0"/>
        <w:spacing w:line="30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keepNext w:val="0"/>
        <w:keepLines w:val="0"/>
        <w:pageBreakBefore w:val="0"/>
        <w:kinsoku/>
        <w:wordWrap/>
        <w:overflowPunct/>
        <w:topLinePunct w:val="0"/>
        <w:autoSpaceDE/>
        <w:autoSpaceDN/>
        <w:bidi w:val="0"/>
        <w:spacing w:line="30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0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4"/>
        <w:keepNext w:val="0"/>
        <w:keepLines w:val="0"/>
        <w:pageBreakBefore w:val="0"/>
        <w:kinsoku/>
        <w:wordWrap/>
        <w:overflowPunct/>
        <w:topLinePunct w:val="0"/>
        <w:autoSpaceDE/>
        <w:autoSpaceDN/>
        <w:bidi w:val="0"/>
        <w:spacing w:line="300" w:lineRule="exact"/>
        <w:ind w:left="0" w:leftChars="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4"/>
        <w:keepNext w:val="0"/>
        <w:keepLines w:val="0"/>
        <w:pageBreakBefore w:val="0"/>
        <w:kinsoku/>
        <w:wordWrap/>
        <w:overflowPunct/>
        <w:topLinePunct w:val="0"/>
        <w:autoSpaceDE/>
        <w:autoSpaceDN/>
        <w:bidi w:val="0"/>
        <w:spacing w:line="300" w:lineRule="exact"/>
        <w:ind w:left="420" w:leftChars="0" w:hanging="420" w:hanging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3"/>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3"/>
        <w:keepNext w:val="0"/>
        <w:keepLines w:val="0"/>
        <w:pageBreakBefore w:val="0"/>
        <w:kinsoku/>
        <w:wordWrap/>
        <w:overflowPunct/>
        <w:topLinePunct w:val="0"/>
        <w:autoSpaceDE/>
        <w:autoSpaceDN/>
        <w:bidi w:val="0"/>
        <w:spacing w:after="0" w:line="3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3"/>
        <w:keepNext w:val="0"/>
        <w:keepLines w:val="0"/>
        <w:pageBreakBefore w:val="0"/>
        <w:kinsoku/>
        <w:wordWrap/>
        <w:overflowPunct/>
        <w:topLinePunct w:val="0"/>
        <w:autoSpaceDE/>
        <w:autoSpaceDN/>
        <w:bidi w:val="0"/>
        <w:spacing w:after="0" w:line="3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keepNext w:val="0"/>
        <w:keepLines w:val="0"/>
        <w:pageBreakBefore w:val="0"/>
        <w:widowControl/>
        <w:kinsoku/>
        <w:wordWrap/>
        <w:overflowPunct/>
        <w:topLinePunct w:val="0"/>
        <w:autoSpaceDE/>
        <w:autoSpaceDN/>
        <w:bidi w:val="0"/>
        <w:adjustRightInd w:val="0"/>
        <w:snapToGrid w:val="0"/>
        <w:spacing w:line="30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一</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种方式解决：</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keepNext w:val="0"/>
        <w:keepLines w:val="0"/>
        <w:pageBreakBefore w:val="0"/>
        <w:kinsoku/>
        <w:wordWrap/>
        <w:overflowPunct/>
        <w:topLinePunct w:val="0"/>
        <w:autoSpaceDE/>
        <w:autoSpaceDN/>
        <w:bidi w:val="0"/>
        <w:spacing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0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3"/>
        <w:keepNext w:val="0"/>
        <w:keepLines w:val="0"/>
        <w:pageBreakBefore w:val="0"/>
        <w:kinsoku/>
        <w:wordWrap/>
        <w:overflowPunct/>
        <w:topLinePunct w:val="0"/>
        <w:autoSpaceDE/>
        <w:autoSpaceDN/>
        <w:bidi w:val="0"/>
        <w:spacing w:before="156" w:beforeLines="50" w:after="156" w:afterLines="50" w:line="30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3"/>
        <w:keepNext w:val="0"/>
        <w:keepLines w:val="0"/>
        <w:pageBreakBefore w:val="0"/>
        <w:kinsoku/>
        <w:wordWrap/>
        <w:overflowPunct/>
        <w:topLinePunct w:val="0"/>
        <w:autoSpaceDE/>
        <w:autoSpaceDN/>
        <w:bidi w:val="0"/>
        <w:spacing w:before="156" w:beforeLines="50" w:after="156" w:afterLines="50" w:line="30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keepNext w:val="0"/>
        <w:keepLines w:val="0"/>
        <w:pageBreakBefore w:val="0"/>
        <w:kinsoku/>
        <w:wordWrap/>
        <w:overflowPunct/>
        <w:topLinePunct w:val="0"/>
        <w:autoSpaceDE/>
        <w:autoSpaceDN/>
        <w:bidi w:val="0"/>
        <w:spacing w:line="300" w:lineRule="exact"/>
        <w:ind w:left="360"/>
        <w:rPr>
          <w:rFonts w:hint="eastAsia" w:ascii="仿宋" w:hAnsi="仿宋" w:eastAsia="仿宋" w:cs="仿宋"/>
          <w:b/>
          <w:bCs/>
          <w:sz w:val="24"/>
          <w:szCs w:val="24"/>
        </w:rPr>
      </w:pP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keepNext w:val="0"/>
        <w:keepLines w:val="0"/>
        <w:pageBreakBefore w:val="0"/>
        <w:widowControl/>
        <w:kinsoku/>
        <w:wordWrap/>
        <w:overflowPunct/>
        <w:topLinePunct w:val="0"/>
        <w:autoSpaceDE/>
        <w:autoSpaceDN/>
        <w:bidi w:val="0"/>
        <w:adjustRightInd w:val="0"/>
        <w:snapToGrid w:val="0"/>
        <w:spacing w:line="300" w:lineRule="exact"/>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p>
      <w:pPr>
        <w:keepNext w:val="0"/>
        <w:keepLines w:val="0"/>
        <w:pageBreakBefore w:val="0"/>
        <w:kinsoku/>
        <w:wordWrap/>
        <w:overflowPunct/>
        <w:topLinePunct w:val="0"/>
        <w:autoSpaceDE/>
        <w:autoSpaceDN/>
        <w:bidi w:val="0"/>
        <w:spacing w:line="38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822CCE"/>
    <w:multiLevelType w:val="singleLevel"/>
    <w:tmpl w:val="CA822CCE"/>
    <w:lvl w:ilvl="0" w:tentative="0">
      <w:start w:val="4"/>
      <w:numFmt w:val="chineseCounting"/>
      <w:suff w:val="nothing"/>
      <w:lvlText w:val="%1、"/>
      <w:lvlJc w:val="left"/>
      <w:rPr>
        <w:rFonts w:hint="eastAsia"/>
      </w:rPr>
    </w:lvl>
  </w:abstractNum>
  <w:abstractNum w:abstractNumId="1">
    <w:nsid w:val="17A6181C"/>
    <w:multiLevelType w:val="singleLevel"/>
    <w:tmpl w:val="17A618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4D6CDB"/>
    <w:rsid w:val="005025E7"/>
    <w:rsid w:val="005214BF"/>
    <w:rsid w:val="00524A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C705E6"/>
    <w:rsid w:val="01CB7EF9"/>
    <w:rsid w:val="037A0EBA"/>
    <w:rsid w:val="043909E8"/>
    <w:rsid w:val="048241F2"/>
    <w:rsid w:val="05170D79"/>
    <w:rsid w:val="053C27A7"/>
    <w:rsid w:val="053D6832"/>
    <w:rsid w:val="06477967"/>
    <w:rsid w:val="07E6106A"/>
    <w:rsid w:val="086B0844"/>
    <w:rsid w:val="086D6C4D"/>
    <w:rsid w:val="08B92FD9"/>
    <w:rsid w:val="092611AD"/>
    <w:rsid w:val="0A44662C"/>
    <w:rsid w:val="0AA4171C"/>
    <w:rsid w:val="0AB15856"/>
    <w:rsid w:val="0C3C7D9D"/>
    <w:rsid w:val="0C540F66"/>
    <w:rsid w:val="0CCD1FD2"/>
    <w:rsid w:val="0CF42CA7"/>
    <w:rsid w:val="0CF51676"/>
    <w:rsid w:val="0F1C1852"/>
    <w:rsid w:val="102D61FC"/>
    <w:rsid w:val="11D91C57"/>
    <w:rsid w:val="11EA32BA"/>
    <w:rsid w:val="13301DBC"/>
    <w:rsid w:val="14527CAF"/>
    <w:rsid w:val="14AD398F"/>
    <w:rsid w:val="17950F32"/>
    <w:rsid w:val="1A3255FC"/>
    <w:rsid w:val="1B2A4D5C"/>
    <w:rsid w:val="1C293B7E"/>
    <w:rsid w:val="1D804D3E"/>
    <w:rsid w:val="1E3D61CA"/>
    <w:rsid w:val="1EC31DBC"/>
    <w:rsid w:val="1F291972"/>
    <w:rsid w:val="20F96E81"/>
    <w:rsid w:val="217E5894"/>
    <w:rsid w:val="21BC0AA4"/>
    <w:rsid w:val="22206233"/>
    <w:rsid w:val="229C3730"/>
    <w:rsid w:val="233D700E"/>
    <w:rsid w:val="237C31C6"/>
    <w:rsid w:val="25766048"/>
    <w:rsid w:val="259A4928"/>
    <w:rsid w:val="2642389E"/>
    <w:rsid w:val="27A15904"/>
    <w:rsid w:val="28602034"/>
    <w:rsid w:val="29936285"/>
    <w:rsid w:val="2A3D3566"/>
    <w:rsid w:val="2AB867FD"/>
    <w:rsid w:val="2B014B4B"/>
    <w:rsid w:val="2C443455"/>
    <w:rsid w:val="2C86396F"/>
    <w:rsid w:val="2DEC7622"/>
    <w:rsid w:val="2E425F21"/>
    <w:rsid w:val="2F4B4D02"/>
    <w:rsid w:val="302D4999"/>
    <w:rsid w:val="31DE7463"/>
    <w:rsid w:val="3369798B"/>
    <w:rsid w:val="34B74C75"/>
    <w:rsid w:val="36836EFA"/>
    <w:rsid w:val="36935963"/>
    <w:rsid w:val="36D620DF"/>
    <w:rsid w:val="37160AAC"/>
    <w:rsid w:val="383A127B"/>
    <w:rsid w:val="386B293F"/>
    <w:rsid w:val="38A36D6E"/>
    <w:rsid w:val="38AB1023"/>
    <w:rsid w:val="3A7C06D4"/>
    <w:rsid w:val="3AC03A85"/>
    <w:rsid w:val="3B0A269F"/>
    <w:rsid w:val="3B502EB7"/>
    <w:rsid w:val="3C135BEA"/>
    <w:rsid w:val="3CB25E20"/>
    <w:rsid w:val="3D3D37EE"/>
    <w:rsid w:val="3FC36316"/>
    <w:rsid w:val="40ED1974"/>
    <w:rsid w:val="41124B09"/>
    <w:rsid w:val="41836AFC"/>
    <w:rsid w:val="41A57900"/>
    <w:rsid w:val="41E57DB8"/>
    <w:rsid w:val="42370227"/>
    <w:rsid w:val="42AA0F89"/>
    <w:rsid w:val="42AB6B0E"/>
    <w:rsid w:val="42E94585"/>
    <w:rsid w:val="44300BCC"/>
    <w:rsid w:val="443F44F5"/>
    <w:rsid w:val="4441107B"/>
    <w:rsid w:val="44E830B8"/>
    <w:rsid w:val="45147F3B"/>
    <w:rsid w:val="4563224E"/>
    <w:rsid w:val="46DB5C96"/>
    <w:rsid w:val="47474DC2"/>
    <w:rsid w:val="4837679C"/>
    <w:rsid w:val="498268B3"/>
    <w:rsid w:val="49A42DC9"/>
    <w:rsid w:val="4A032AF0"/>
    <w:rsid w:val="4A6D2190"/>
    <w:rsid w:val="4B7B441B"/>
    <w:rsid w:val="4FA71692"/>
    <w:rsid w:val="504A03B1"/>
    <w:rsid w:val="51656404"/>
    <w:rsid w:val="52B224FC"/>
    <w:rsid w:val="52BA16DA"/>
    <w:rsid w:val="576F426C"/>
    <w:rsid w:val="57E7479E"/>
    <w:rsid w:val="58741552"/>
    <w:rsid w:val="58A3386C"/>
    <w:rsid w:val="58C972FF"/>
    <w:rsid w:val="58D635DD"/>
    <w:rsid w:val="58ED7011"/>
    <w:rsid w:val="59620086"/>
    <w:rsid w:val="59D643ED"/>
    <w:rsid w:val="5AB20853"/>
    <w:rsid w:val="5ADB5770"/>
    <w:rsid w:val="5C0A408C"/>
    <w:rsid w:val="5C19268D"/>
    <w:rsid w:val="5C83222C"/>
    <w:rsid w:val="5C850201"/>
    <w:rsid w:val="5D2F7D8E"/>
    <w:rsid w:val="5D702C7A"/>
    <w:rsid w:val="5DA336AB"/>
    <w:rsid w:val="5DB4506E"/>
    <w:rsid w:val="5DE01A98"/>
    <w:rsid w:val="5E7044FA"/>
    <w:rsid w:val="60676B52"/>
    <w:rsid w:val="625A6570"/>
    <w:rsid w:val="62A92668"/>
    <w:rsid w:val="62B04B79"/>
    <w:rsid w:val="62B65203"/>
    <w:rsid w:val="63F155F1"/>
    <w:rsid w:val="63FD302A"/>
    <w:rsid w:val="648261B4"/>
    <w:rsid w:val="64B209CA"/>
    <w:rsid w:val="64EF2B7A"/>
    <w:rsid w:val="65533FAE"/>
    <w:rsid w:val="667728BC"/>
    <w:rsid w:val="66977BF0"/>
    <w:rsid w:val="66A912D5"/>
    <w:rsid w:val="66A95262"/>
    <w:rsid w:val="66AD7518"/>
    <w:rsid w:val="66D31F88"/>
    <w:rsid w:val="66E94840"/>
    <w:rsid w:val="66EB1FBB"/>
    <w:rsid w:val="6707166C"/>
    <w:rsid w:val="675C5958"/>
    <w:rsid w:val="68281872"/>
    <w:rsid w:val="68E72C80"/>
    <w:rsid w:val="691B524E"/>
    <w:rsid w:val="696C0D75"/>
    <w:rsid w:val="698067CB"/>
    <w:rsid w:val="69901B9E"/>
    <w:rsid w:val="6A78503C"/>
    <w:rsid w:val="6A7D594D"/>
    <w:rsid w:val="6CA46E68"/>
    <w:rsid w:val="6CC71556"/>
    <w:rsid w:val="6CCB2A2D"/>
    <w:rsid w:val="6D2B0D11"/>
    <w:rsid w:val="6D342CAC"/>
    <w:rsid w:val="6D386030"/>
    <w:rsid w:val="6E6B677F"/>
    <w:rsid w:val="6FF423E4"/>
    <w:rsid w:val="702A2DE7"/>
    <w:rsid w:val="710D1591"/>
    <w:rsid w:val="713B4A15"/>
    <w:rsid w:val="71A1356B"/>
    <w:rsid w:val="71C200A3"/>
    <w:rsid w:val="728B4D8D"/>
    <w:rsid w:val="74753229"/>
    <w:rsid w:val="747C321E"/>
    <w:rsid w:val="74B168A5"/>
    <w:rsid w:val="75B40F0F"/>
    <w:rsid w:val="76041730"/>
    <w:rsid w:val="76C0721C"/>
    <w:rsid w:val="7B5802C1"/>
    <w:rsid w:val="7BAE699A"/>
    <w:rsid w:val="7D872878"/>
    <w:rsid w:val="7DC56C15"/>
    <w:rsid w:val="7EA9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qFormat/>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rPr>
      <w:rFonts w:ascii="Times New Roman"/>
    </w:rPr>
  </w:style>
  <w:style w:type="character" w:styleId="12">
    <w:name w:val="page number"/>
    <w:basedOn w:val="11"/>
    <w:qFormat/>
    <w:uiPriority w:val="0"/>
  </w:style>
  <w:style w:type="character" w:styleId="13">
    <w:name w:val="Hyperlink"/>
    <w:qFormat/>
    <w:uiPriority w:val="0"/>
    <w:rPr>
      <w:color w:val="0000FF"/>
      <w:u w:val="non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2</TotalTime>
  <ScaleCrop>false</ScaleCrop>
  <LinksUpToDate>false</LinksUpToDate>
  <CharactersWithSpaces>3011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0051462</cp:lastModifiedBy>
  <dcterms:modified xsi:type="dcterms:W3CDTF">2024-03-12T01:25:43Z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