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Theme="minorEastAsia" w:hAnsiTheme="minorEastAsia"/>
          <w:b/>
          <w:sz w:val="32"/>
          <w:szCs w:val="32"/>
        </w:rPr>
      </w:pPr>
      <w:r>
        <w:rPr>
          <w:rFonts w:hint="eastAsia" w:asciiTheme="minorEastAsia" w:hAnsiTheme="minorEastAsia"/>
          <w:b/>
          <w:sz w:val="32"/>
          <w:szCs w:val="32"/>
        </w:rPr>
        <w:t>蒙牛乳业低温通辽工厂改造动力老旧电机项目</w:t>
      </w:r>
    </w:p>
    <w:p>
      <w:pPr>
        <w:widowControl/>
        <w:shd w:val="clear" w:color="auto" w:fill="FFFFFF"/>
        <w:snapToGrid w:val="0"/>
        <w:jc w:val="center"/>
        <w:rPr>
          <w:rFonts w:ascii="宋体" w:hAnsi="宋体" w:cs="宋体"/>
          <w:b/>
          <w:bCs/>
          <w:kern w:val="0"/>
          <w:sz w:val="32"/>
          <w:szCs w:val="32"/>
        </w:rPr>
      </w:pPr>
      <w:r>
        <w:rPr>
          <w:rFonts w:hint="eastAsia" w:ascii="宋体" w:hAnsi="宋体" w:cs="宋体"/>
          <w:b/>
          <w:bCs/>
          <w:kern w:val="0"/>
          <w:sz w:val="32"/>
          <w:szCs w:val="32"/>
        </w:rPr>
        <w:t>询比价信息公告</w:t>
      </w:r>
    </w:p>
    <w:p>
      <w:pPr>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sz w:val="28"/>
          <w:szCs w:val="28"/>
          <w:u w:val="single"/>
        </w:rPr>
        <w:t>通辽工厂改造动力老旧电机</w:t>
      </w:r>
      <w:r>
        <w:rPr>
          <w:rFonts w:hint="eastAsia" w:ascii="仿宋_GB2312" w:hAnsi="宋体" w:eastAsia="仿宋_GB2312"/>
          <w:sz w:val="28"/>
          <w:szCs w:val="28"/>
        </w:rPr>
        <w:t>项目进行询比价, 欢迎符合资格条件的供应商参加。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lang w:val="en-US" w:eastAsia="zh-CN"/>
        </w:rPr>
        <w:t>MNCGJH-20240222-0002</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sz w:val="28"/>
          <w:szCs w:val="28"/>
          <w:u w:val="none"/>
        </w:rPr>
        <w:t>蒙牛乳业低温通辽工厂</w:t>
      </w:r>
      <w:r>
        <w:rPr>
          <w:rFonts w:hint="eastAsia" w:ascii="仿宋_GB2312" w:hAnsi="宋体" w:eastAsia="仿宋_GB2312"/>
          <w:sz w:val="28"/>
          <w:szCs w:val="28"/>
          <w:u w:val="none"/>
          <w:lang w:val="en-US" w:eastAsia="zh-CN"/>
        </w:rPr>
        <w:t>改造动力老旧电机</w:t>
      </w:r>
      <w:r>
        <w:rPr>
          <w:rFonts w:hint="eastAsia" w:ascii="仿宋_GB2312" w:hAnsi="宋体" w:eastAsia="仿宋_GB2312"/>
          <w:color w:val="auto"/>
          <w:sz w:val="28"/>
          <w:szCs w:val="28"/>
          <w:u w:val="none"/>
          <w:lang w:val="en-US" w:eastAsia="zh-CN"/>
        </w:rPr>
        <w:t>项</w:t>
      </w:r>
      <w:r>
        <w:rPr>
          <w:rFonts w:hint="eastAsia" w:ascii="仿宋_GB2312" w:hAnsi="宋体" w:eastAsia="仿宋_GB2312"/>
          <w:color w:val="auto"/>
          <w:sz w:val="28"/>
          <w:szCs w:val="28"/>
          <w:lang w:val="en-US" w:eastAsia="zh-CN"/>
        </w:rPr>
        <w:t>目</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b/>
          <w:color w:val="auto"/>
          <w:sz w:val="28"/>
          <w:szCs w:val="28"/>
        </w:rPr>
      </w:pPr>
      <w:r>
        <w:rPr>
          <w:rFonts w:hint="eastAsia" w:ascii="仿宋_GB2312" w:hAnsi="宋体" w:eastAsia="仿宋_GB2312"/>
          <w:b/>
          <w:color w:val="auto"/>
          <w:sz w:val="28"/>
          <w:szCs w:val="28"/>
        </w:rPr>
        <w:t>项目概况：</w:t>
      </w:r>
    </w:p>
    <w:p>
      <w:pPr>
        <w:pStyle w:val="16"/>
        <w:keepNext w:val="0"/>
        <w:keepLines w:val="0"/>
        <w:pageBreakBefore w:val="0"/>
        <w:widowControl w:val="0"/>
        <w:tabs>
          <w:tab w:val="left" w:pos="1134"/>
          <w:tab w:val="left" w:pos="1701"/>
        </w:tabs>
        <w:kinsoku/>
        <w:wordWrap/>
        <w:overflowPunct/>
        <w:topLinePunct w:val="0"/>
        <w:autoSpaceDE/>
        <w:autoSpaceDN/>
        <w:bidi w:val="0"/>
        <w:adjustRightInd/>
        <w:snapToGrid/>
        <w:spacing w:line="480" w:lineRule="exact"/>
        <w:ind w:left="7"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低温通辽工厂动力15台老旧电机使用年限较多，技术和设计落后，效率低下、能源消耗大，带来不必要的资源浪费和环境压力，改造老旧电机可以采用新型高效节能电机，从而降低能源消耗，减少对环境的负面影响。</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竞谈人</w:t>
      </w:r>
      <w:r>
        <w:rPr>
          <w:rFonts w:hint="eastAsia" w:ascii="仿宋_GB2312" w:hAnsi="仿宋" w:eastAsia="仿宋_GB2312"/>
          <w:bCs/>
          <w:sz w:val="28"/>
          <w:szCs w:val="28"/>
          <w:lang w:val="en-US" w:eastAsia="zh-CN"/>
        </w:rPr>
        <w:t>近两</w:t>
      </w:r>
      <w:r>
        <w:rPr>
          <w:rFonts w:hint="eastAsia" w:ascii="仿宋_GB2312" w:hAnsi="仿宋" w:eastAsia="仿宋_GB2312"/>
          <w:bCs/>
          <w:sz w:val="28"/>
          <w:szCs w:val="28"/>
        </w:rPr>
        <w:t>年须具有两个及以上类似项目业绩（以合同为准）；</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lang w:eastAsia="zh-CN"/>
        </w:rPr>
      </w:pPr>
      <w:r>
        <w:rPr>
          <w:rFonts w:hint="eastAsia" w:ascii="仿宋_GB2312" w:hAnsi="仿宋" w:eastAsia="仿宋_GB2312"/>
          <w:bCs/>
          <w:sz w:val="28"/>
          <w:szCs w:val="28"/>
          <w:lang w:val="en-US" w:eastAsia="zh-CN"/>
        </w:rPr>
        <w:t>3）</w:t>
      </w:r>
      <w:r>
        <w:rPr>
          <w:rFonts w:hint="eastAsia" w:ascii="仿宋_GB2312" w:hAnsi="仿宋" w:eastAsia="仿宋_GB2312"/>
          <w:bCs/>
          <w:sz w:val="28"/>
          <w:szCs w:val="28"/>
        </w:rPr>
        <w:t>竞谈人近</w:t>
      </w:r>
      <w:r>
        <w:rPr>
          <w:rFonts w:hint="eastAsia" w:ascii="仿宋_GB2312" w:hAnsi="仿宋" w:eastAsia="仿宋_GB2312"/>
          <w:bCs/>
          <w:sz w:val="28"/>
          <w:szCs w:val="28"/>
          <w:lang w:val="en-US" w:eastAsia="zh-CN"/>
        </w:rPr>
        <w:t>一</w:t>
      </w:r>
      <w:r>
        <w:rPr>
          <w:rFonts w:hint="eastAsia" w:ascii="仿宋_GB2312" w:hAnsi="仿宋" w:eastAsia="仿宋_GB2312"/>
          <w:bCs/>
          <w:sz w:val="28"/>
          <w:szCs w:val="28"/>
        </w:rPr>
        <w:t>年须具有财务报表或经第三方审计的财务报告；</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 w:eastAsia="仿宋_GB2312"/>
          <w:bCs/>
          <w:sz w:val="28"/>
          <w:szCs w:val="28"/>
          <w:lang w:val="en-US" w:eastAsia="zh-CN"/>
        </w:rPr>
        <w:t>4）</w:t>
      </w:r>
      <w:r>
        <w:rPr>
          <w:rFonts w:hint="eastAsia" w:ascii="仿宋_GB2312" w:hAnsi="仿宋" w:eastAsia="仿宋_GB2312"/>
          <w:bCs/>
          <w:sz w:val="28"/>
          <w:szCs w:val="28"/>
        </w:rPr>
        <w:t>竞谈人须具备一般纳税人资格</w:t>
      </w:r>
      <w:r>
        <w:rPr>
          <w:rFonts w:hint="eastAsia" w:ascii="仿宋_GB2312" w:hAnsi="仿宋" w:eastAsia="仿宋_GB2312"/>
          <w:bCs/>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7）本次询比价不接受多家单位联合报价，不允许分包或转包。</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3"/>
          <w:sz w:val="32"/>
        </w:rPr>
      </w:pPr>
      <w:r>
        <w:fldChar w:fldCharType="begin"/>
      </w:r>
      <w:r>
        <w:instrText xml:space="preserve"> HYPERLINK "https://zbcg.mengniu.cn/" \l "/home" \t "_blank" </w:instrText>
      </w:r>
      <w:r>
        <w:fldChar w:fldCharType="separate"/>
      </w:r>
      <w:r>
        <w:rPr>
          <w:rStyle w:val="13"/>
          <w:rFonts w:hint="eastAsia" w:ascii="仿宋_GB2312" w:hAnsi="宋体" w:eastAsia="仿宋_GB2312"/>
          <w:sz w:val="30"/>
          <w:szCs w:val="30"/>
        </w:rPr>
        <w:t>https://zbcg.mengniu.cn/#/home</w:t>
      </w:r>
      <w:r>
        <w:rPr>
          <w:rStyle w:val="13"/>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3"/>
          <w:rFonts w:hint="eastAsia" w:ascii="仿宋_GB2312" w:hAnsi="宋体" w:eastAsia="仿宋_GB2312"/>
          <w:sz w:val="30"/>
          <w:szCs w:val="30"/>
        </w:rPr>
        <w:t>https://srm.mengniu.cn/sap/bc/webdynpro/sap/zregistration</w:t>
      </w:r>
      <w:r>
        <w:rPr>
          <w:rStyle w:val="13"/>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两</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bookmarkStart w:id="0" w:name="_GoBack"/>
      <w:bookmarkEnd w:id="0"/>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通辽市蒙牛乳制品有限责任公司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3"/>
          <w:rFonts w:hint="eastAsia" w:ascii="微软雅黑" w:hAnsi="微软雅黑" w:eastAsia="微软雅黑"/>
          <w:sz w:val="22"/>
          <w:szCs w:val="21"/>
          <w:highlight w:val="none"/>
          <w:shd w:val="clear" w:color="auto" w:fill="FFFFFF"/>
        </w:rPr>
        <w:t>https://zbcg.mengniu.cn/#/home</w:t>
      </w:r>
      <w:r>
        <w:rPr>
          <w:rStyle w:val="13"/>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月 </w:t>
      </w:r>
      <w:r>
        <w:rPr>
          <w:rFonts w:hint="eastAsia" w:ascii="仿宋_GB2312" w:hAnsi="宋体" w:eastAsia="仿宋_GB2312" w:cs="仿宋"/>
          <w:sz w:val="30"/>
          <w:szCs w:val="30"/>
          <w:lang w:val="en-US" w:eastAsia="zh-CN"/>
        </w:rPr>
        <w:t>16</w:t>
      </w:r>
      <w:r>
        <w:rPr>
          <w:rFonts w:hint="eastAsia" w:ascii="仿宋_GB2312" w:hAnsi="宋体" w:eastAsia="仿宋_GB2312" w:cs="仿宋"/>
          <w:sz w:val="30"/>
          <w:szCs w:val="30"/>
        </w:rPr>
        <w:t>日</w:t>
      </w: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tbl>
      <w:tblPr>
        <w:tblStyle w:val="10"/>
        <w:tblpPr w:leftFromText="180" w:rightFromText="180" w:vertAnchor="text" w:horzAnchor="page" w:tblpX="1410" w:tblpY="36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b/>
          <w:kern w:val="0"/>
          <w:sz w:val="36"/>
          <w:szCs w:val="36"/>
        </w:rPr>
      </w:pPr>
    </w:p>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lang w:val="en-US" w:eastAsia="zh-CN"/>
        </w:rPr>
        <w:t>通辽市蒙牛乳制品有限责任公司</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9"/>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9"/>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地址：内蒙古自治区通辽市开发区辽河大街以北甘旗卡路以西</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蒙牛乳业低温通辽</w:t>
      </w:r>
      <w:r>
        <w:rPr>
          <w:rFonts w:hint="eastAsia" w:ascii="仿宋" w:hAnsi="仿宋" w:eastAsia="仿宋" w:cs="仿宋"/>
          <w:color w:val="000000"/>
          <w:kern w:val="0"/>
          <w:sz w:val="24"/>
          <w:szCs w:val="24"/>
          <w:u w:val="single"/>
          <w:lang w:eastAsia="zh-CN"/>
        </w:rPr>
        <w:t>工厂</w:t>
      </w:r>
      <w:r>
        <w:rPr>
          <w:rFonts w:hint="eastAsia" w:ascii="仿宋" w:hAnsi="仿宋" w:eastAsia="仿宋" w:cs="仿宋"/>
          <w:color w:val="000000"/>
          <w:kern w:val="0"/>
          <w:sz w:val="24"/>
          <w:szCs w:val="24"/>
          <w:u w:val="single"/>
          <w:lang w:val="en-US" w:eastAsia="zh-CN"/>
        </w:rPr>
        <w:t>改造动力老旧电机</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7"/>
        <w:keepNext w:val="0"/>
        <w:keepLines w:val="0"/>
        <w:pageBreakBefore w:val="0"/>
        <w:kinsoku/>
        <w:wordWrap/>
        <w:overflowPunct/>
        <w:topLinePunct w:val="0"/>
        <w:autoSpaceDE/>
        <w:autoSpaceDN/>
        <w:bidi w:val="0"/>
        <w:spacing w:line="30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7"/>
        <w:keepNext w:val="0"/>
        <w:keepLines w:val="0"/>
        <w:pageBreakBefore w:val="0"/>
        <w:kinsoku/>
        <w:wordWrap/>
        <w:overflowPunct/>
        <w:topLinePunct w:val="0"/>
        <w:autoSpaceDE/>
        <w:autoSpaceDN/>
        <w:bidi w:val="0"/>
        <w:spacing w:line="30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kinsoku/>
        <w:wordWrap/>
        <w:overflowPunct/>
        <w:topLinePunct w:val="0"/>
        <w:autoSpaceDE/>
        <w:autoSpaceDN/>
        <w:bidi w:val="0"/>
        <w:spacing w:line="30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4"/>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kinsoku/>
        <w:wordWrap/>
        <w:overflowPunct/>
        <w:topLinePunct w:val="0"/>
        <w:autoSpaceDE/>
        <w:autoSpaceDN/>
        <w:bidi w:val="0"/>
        <w:spacing w:line="30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kinsoku/>
        <w:wordWrap/>
        <w:overflowPunct/>
        <w:topLinePunct w:val="0"/>
        <w:autoSpaceDE/>
        <w:autoSpaceDN/>
        <w:bidi w:val="0"/>
        <w:spacing w:line="30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4"/>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4"/>
        <w:keepNext w:val="0"/>
        <w:keepLines w:val="0"/>
        <w:pageBreakBefore w:val="0"/>
        <w:kinsoku/>
        <w:wordWrap/>
        <w:overflowPunct/>
        <w:topLinePunct w:val="0"/>
        <w:autoSpaceDE/>
        <w:autoSpaceDN/>
        <w:bidi w:val="0"/>
        <w:spacing w:line="300" w:lineRule="exact"/>
        <w:ind w:left="420" w:leftChars="0" w:hanging="420" w:hanging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3"/>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3"/>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一</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种方式解决：</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3"/>
        <w:keepNext w:val="0"/>
        <w:keepLines w:val="0"/>
        <w:pageBreakBefore w:val="0"/>
        <w:kinsoku/>
        <w:wordWrap/>
        <w:overflowPunct/>
        <w:topLinePunct w:val="0"/>
        <w:autoSpaceDE/>
        <w:autoSpaceDN/>
        <w:bidi w:val="0"/>
        <w:spacing w:before="156" w:beforeLines="50" w:after="156" w:afterLines="50"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keepNext w:val="0"/>
        <w:keepLines w:val="0"/>
        <w:pageBreakBefore w:val="0"/>
        <w:kinsoku/>
        <w:wordWrap/>
        <w:overflowPunct/>
        <w:topLinePunct w:val="0"/>
        <w:autoSpaceDE/>
        <w:autoSpaceDN/>
        <w:bidi w:val="0"/>
        <w:spacing w:line="300" w:lineRule="exact"/>
        <w:ind w:left="360"/>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p>
      <w:pPr>
        <w:keepNext w:val="0"/>
        <w:keepLines w:val="0"/>
        <w:pageBreakBefore w:val="0"/>
        <w:kinsoku/>
        <w:wordWrap/>
        <w:overflowPunct/>
        <w:topLinePunct w:val="0"/>
        <w:autoSpaceDE/>
        <w:autoSpaceDN/>
        <w:bidi w:val="0"/>
        <w:spacing w:line="380" w:lineRule="exact"/>
        <w:jc w:val="center"/>
      </w:pP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WEwNWI1N2MyNzk2ZWM4M2Y0NjcwMzRmMmJiNGIifQ=="/>
    <w:docVar w:name="KSO_WPS_MARK_KEY" w:val="eb95b07c-8f6c-4abf-ad91-a63732cabab0"/>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24A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CB7EF9"/>
    <w:rsid w:val="037A0EBA"/>
    <w:rsid w:val="043909E8"/>
    <w:rsid w:val="053C27A7"/>
    <w:rsid w:val="053D6832"/>
    <w:rsid w:val="06477967"/>
    <w:rsid w:val="07E6106A"/>
    <w:rsid w:val="086B0844"/>
    <w:rsid w:val="086D6C4D"/>
    <w:rsid w:val="08B92FD9"/>
    <w:rsid w:val="092611AD"/>
    <w:rsid w:val="0A44662C"/>
    <w:rsid w:val="0AA4171C"/>
    <w:rsid w:val="0AB15856"/>
    <w:rsid w:val="0C540F66"/>
    <w:rsid w:val="0CCD1FD2"/>
    <w:rsid w:val="0CF42CA7"/>
    <w:rsid w:val="102D1F9E"/>
    <w:rsid w:val="102D61FC"/>
    <w:rsid w:val="11D91C57"/>
    <w:rsid w:val="11EA32BA"/>
    <w:rsid w:val="13301DBC"/>
    <w:rsid w:val="14AD398F"/>
    <w:rsid w:val="17950F32"/>
    <w:rsid w:val="1A3255FC"/>
    <w:rsid w:val="1C293B7E"/>
    <w:rsid w:val="1D804D3E"/>
    <w:rsid w:val="1E3D61CA"/>
    <w:rsid w:val="1EC31DBC"/>
    <w:rsid w:val="1F5D5295"/>
    <w:rsid w:val="20F96E81"/>
    <w:rsid w:val="217E5894"/>
    <w:rsid w:val="21BC0AA4"/>
    <w:rsid w:val="22206233"/>
    <w:rsid w:val="233D700E"/>
    <w:rsid w:val="237C31C6"/>
    <w:rsid w:val="25766048"/>
    <w:rsid w:val="259A4928"/>
    <w:rsid w:val="2642389E"/>
    <w:rsid w:val="271C5F6B"/>
    <w:rsid w:val="27A15904"/>
    <w:rsid w:val="28602034"/>
    <w:rsid w:val="2A3D3566"/>
    <w:rsid w:val="2B014B4B"/>
    <w:rsid w:val="2C443455"/>
    <w:rsid w:val="2C86396F"/>
    <w:rsid w:val="2DEC7622"/>
    <w:rsid w:val="2E425F21"/>
    <w:rsid w:val="2F2806C1"/>
    <w:rsid w:val="2F4B4D02"/>
    <w:rsid w:val="302D4999"/>
    <w:rsid w:val="31DE7463"/>
    <w:rsid w:val="3369798B"/>
    <w:rsid w:val="34B74C75"/>
    <w:rsid w:val="36836EFA"/>
    <w:rsid w:val="36935963"/>
    <w:rsid w:val="36D620DF"/>
    <w:rsid w:val="383A127B"/>
    <w:rsid w:val="386B293F"/>
    <w:rsid w:val="38A36D6E"/>
    <w:rsid w:val="38AB1023"/>
    <w:rsid w:val="39466CEA"/>
    <w:rsid w:val="3A7C06D4"/>
    <w:rsid w:val="3AC03A85"/>
    <w:rsid w:val="3B0A269F"/>
    <w:rsid w:val="3C135BEA"/>
    <w:rsid w:val="3CB25E20"/>
    <w:rsid w:val="3D3D37EE"/>
    <w:rsid w:val="3ED421A9"/>
    <w:rsid w:val="3FC36316"/>
    <w:rsid w:val="40ED1974"/>
    <w:rsid w:val="41124B09"/>
    <w:rsid w:val="41836AFC"/>
    <w:rsid w:val="41E57DB8"/>
    <w:rsid w:val="42370227"/>
    <w:rsid w:val="42AA0F89"/>
    <w:rsid w:val="42AB6B0E"/>
    <w:rsid w:val="443F44F5"/>
    <w:rsid w:val="45147F3B"/>
    <w:rsid w:val="4563224E"/>
    <w:rsid w:val="4837679C"/>
    <w:rsid w:val="498268B3"/>
    <w:rsid w:val="49A42DC9"/>
    <w:rsid w:val="4A032AF0"/>
    <w:rsid w:val="4A6D2190"/>
    <w:rsid w:val="4B7B441B"/>
    <w:rsid w:val="4FA71692"/>
    <w:rsid w:val="504A03B1"/>
    <w:rsid w:val="51915487"/>
    <w:rsid w:val="52B224FC"/>
    <w:rsid w:val="52BA16DA"/>
    <w:rsid w:val="56A72578"/>
    <w:rsid w:val="576F426C"/>
    <w:rsid w:val="58A3386C"/>
    <w:rsid w:val="58C972FF"/>
    <w:rsid w:val="58D635DD"/>
    <w:rsid w:val="58ED7011"/>
    <w:rsid w:val="59620086"/>
    <w:rsid w:val="59D643ED"/>
    <w:rsid w:val="5AB20853"/>
    <w:rsid w:val="5C0A408C"/>
    <w:rsid w:val="5C19268D"/>
    <w:rsid w:val="5C83222C"/>
    <w:rsid w:val="5C850201"/>
    <w:rsid w:val="5D2F7D8E"/>
    <w:rsid w:val="5D702C7A"/>
    <w:rsid w:val="5DA336AB"/>
    <w:rsid w:val="5DB4506E"/>
    <w:rsid w:val="5DE01A98"/>
    <w:rsid w:val="5E7044FA"/>
    <w:rsid w:val="60676B52"/>
    <w:rsid w:val="625A6570"/>
    <w:rsid w:val="62B04B79"/>
    <w:rsid w:val="62B65203"/>
    <w:rsid w:val="63FD302A"/>
    <w:rsid w:val="648261B4"/>
    <w:rsid w:val="64B209CA"/>
    <w:rsid w:val="64EF2B7A"/>
    <w:rsid w:val="65533FAE"/>
    <w:rsid w:val="667728BC"/>
    <w:rsid w:val="66977BF0"/>
    <w:rsid w:val="66A912D5"/>
    <w:rsid w:val="66A95262"/>
    <w:rsid w:val="66AD7518"/>
    <w:rsid w:val="66D31F88"/>
    <w:rsid w:val="66EB1FBB"/>
    <w:rsid w:val="6707166C"/>
    <w:rsid w:val="67ED5F15"/>
    <w:rsid w:val="68E72C80"/>
    <w:rsid w:val="691B524E"/>
    <w:rsid w:val="696C0D75"/>
    <w:rsid w:val="698067CB"/>
    <w:rsid w:val="69901B9E"/>
    <w:rsid w:val="6A78503C"/>
    <w:rsid w:val="6A7D594D"/>
    <w:rsid w:val="6CA46E68"/>
    <w:rsid w:val="6CC71556"/>
    <w:rsid w:val="6CCB2A2D"/>
    <w:rsid w:val="6D2B0D11"/>
    <w:rsid w:val="6D342CAC"/>
    <w:rsid w:val="6E6B677F"/>
    <w:rsid w:val="6FF423E4"/>
    <w:rsid w:val="702A2DE7"/>
    <w:rsid w:val="710D1591"/>
    <w:rsid w:val="713B4A15"/>
    <w:rsid w:val="728B4D8D"/>
    <w:rsid w:val="74753229"/>
    <w:rsid w:val="747C321E"/>
    <w:rsid w:val="74B168A5"/>
    <w:rsid w:val="75B40F0F"/>
    <w:rsid w:val="76041730"/>
    <w:rsid w:val="76C0721C"/>
    <w:rsid w:val="77613A02"/>
    <w:rsid w:val="7B5802C1"/>
    <w:rsid w:val="7BAE699A"/>
    <w:rsid w:val="7D872878"/>
    <w:rsid w:val="7DC56C15"/>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Times New Roman"/>
    </w:rPr>
  </w:style>
  <w:style w:type="character" w:styleId="12">
    <w:name w:val="page number"/>
    <w:basedOn w:val="11"/>
    <w:qFormat/>
    <w:uiPriority w:val="0"/>
  </w:style>
  <w:style w:type="character" w:styleId="13">
    <w:name w:val="Hyperlink"/>
    <w:qFormat/>
    <w:uiPriority w:val="0"/>
    <w:rPr>
      <w:color w:val="0000FF"/>
      <w:u w:val="non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5478</Words>
  <Characters>5800</Characters>
  <Lines>21</Lines>
  <Paragraphs>6</Paragraphs>
  <TotalTime>22</TotalTime>
  <ScaleCrop>false</ScaleCrop>
  <LinksUpToDate>false</LinksUpToDate>
  <CharactersWithSpaces>6476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Administrator</cp:lastModifiedBy>
  <dcterms:modified xsi:type="dcterms:W3CDTF">2024-03-16T01:25:32Z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1DF7D6F3C3F640D8A16C03B23508BF00_12</vt:lpwstr>
  </property>
</Properties>
</file>