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冰品沈阳工厂</w:t>
      </w:r>
      <w:r w:rsidR="00CF6EBB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真空泵</w:t>
      </w:r>
      <w:r w:rsidR="004809AB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及储气罐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购置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0801C4">
        <w:rPr>
          <w:rFonts w:ascii="仿宋_GB2312" w:eastAsia="仿宋_GB2312" w:hAnsi="宋体"/>
          <w:sz w:val="28"/>
          <w:szCs w:val="28"/>
          <w:u w:val="single"/>
        </w:rPr>
        <w:t>沈阳工厂</w:t>
      </w:r>
      <w:r w:rsidR="00CF6EBB">
        <w:rPr>
          <w:rFonts w:ascii="仿宋_GB2312" w:eastAsia="仿宋_GB2312" w:hAnsi="宋体" w:hint="eastAsia"/>
          <w:sz w:val="28"/>
          <w:szCs w:val="28"/>
          <w:u w:val="single"/>
        </w:rPr>
        <w:t>真空泵</w:t>
      </w:r>
      <w:r w:rsidR="004809AB">
        <w:rPr>
          <w:rFonts w:ascii="仿宋_GB2312" w:eastAsia="仿宋_GB2312" w:hAnsi="宋体" w:hint="eastAsia"/>
          <w:sz w:val="28"/>
          <w:szCs w:val="28"/>
          <w:u w:val="single"/>
        </w:rPr>
        <w:t>及储气罐</w:t>
      </w:r>
      <w:r w:rsidR="000801C4">
        <w:rPr>
          <w:rFonts w:ascii="仿宋_GB2312" w:eastAsia="仿宋_GB2312" w:hAnsi="宋体"/>
          <w:sz w:val="28"/>
          <w:szCs w:val="28"/>
          <w:u w:val="single"/>
        </w:rPr>
        <w:t>购置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  <w:bookmarkStart w:id="0" w:name="_GoBack"/>
      <w:bookmarkEnd w:id="0"/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4809AB" w:rsidRPr="004809AB">
        <w:rPr>
          <w:rFonts w:ascii="仿宋_GB2312" w:eastAsia="仿宋_GB2312" w:hAnsi="宋体" w:hint="eastAsia"/>
          <w:color w:val="000000" w:themeColor="text1"/>
          <w:sz w:val="28"/>
          <w:szCs w:val="28"/>
        </w:rPr>
        <w:t>MNCGJH-20240325-0003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</w:t>
      </w:r>
      <w:r w:rsidR="00CF6EBB">
        <w:rPr>
          <w:rFonts w:ascii="仿宋_GB2312" w:eastAsia="仿宋_GB2312" w:hAnsi="宋体" w:hint="eastAsia"/>
          <w:color w:val="000000" w:themeColor="text1"/>
          <w:sz w:val="28"/>
          <w:szCs w:val="28"/>
        </w:rPr>
        <w:t>真空泵</w:t>
      </w:r>
      <w:r w:rsidR="004809AB">
        <w:rPr>
          <w:rFonts w:ascii="仿宋_GB2312" w:eastAsia="仿宋_GB2312" w:hAnsi="宋体" w:hint="eastAsia"/>
          <w:color w:val="000000" w:themeColor="text1"/>
          <w:sz w:val="28"/>
          <w:szCs w:val="28"/>
        </w:rPr>
        <w:t>及储气罐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购置项目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4809AB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4809AB"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 w:hint="eastAsia"/>
          <w:sz w:val="28"/>
          <w:szCs w:val="28"/>
        </w:rPr>
        <w:t>阳工厂需要购置真空泵及配套的储气罐，需要有资格的供应商进行参与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81F2A" w:rsidRPr="0047400E" w:rsidRDefault="009C0E42" w:rsidP="0047400E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7400E" w:rsidRDefault="008107ED" w:rsidP="0047400E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</w:t>
      </w:r>
      <w:r w:rsidR="00130DBB">
        <w:rPr>
          <w:rFonts w:ascii="仿宋" w:eastAsia="仿宋" w:hAnsi="仿宋"/>
          <w:sz w:val="28"/>
          <w:szCs w:val="28"/>
        </w:rPr>
        <w:t>2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4A32FB" w:rsidRPr="0047400E" w:rsidRDefault="0047400E" w:rsidP="00EE7ADD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:rsidR="004A32FB" w:rsidRPr="004A32FB" w:rsidRDefault="0047400E" w:rsidP="004A32F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注册有异议的请拨打平台服务电话4008108111或联系报名联系人。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 13 %增值税专用发票的资格，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</w:t>
      </w:r>
      <w:r w:rsidR="004809AB">
        <w:rPr>
          <w:rFonts w:ascii="仿宋" w:eastAsia="仿宋" w:hAnsi="仿宋"/>
          <w:color w:val="000000"/>
          <w:sz w:val="28"/>
          <w:szCs w:val="28"/>
        </w:rPr>
        <w:t>3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年至今任意3个月的依法纳税缴纳证明材料或者社保缴纳证明材料；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lastRenderedPageBreak/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4809AB">
        <w:rPr>
          <w:rFonts w:ascii="仿宋" w:eastAsia="仿宋" w:hAnsi="仿宋"/>
          <w:color w:val="000000"/>
          <w:sz w:val="28"/>
          <w:szCs w:val="28"/>
        </w:rPr>
        <w:t>2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5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2</w:t>
      </w:r>
      <w:r w:rsidR="001C0E08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C0E08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C0E08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C0E08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C0E08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C0E08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1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蒙牛集团电子采购招标平台（https://zbcg.mengniu.cn/）（以发出的询价单为准）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业务咨询联系人：</w:t>
      </w:r>
      <w:r w:rsidR="00CF6EBB">
        <w:rPr>
          <w:rFonts w:ascii="仿宋_GB2312" w:eastAsia="仿宋_GB2312" w:hAnsi="宋体" w:hint="eastAsia"/>
          <w:color w:val="000000"/>
          <w:sz w:val="28"/>
          <w:szCs w:val="28"/>
        </w:rPr>
        <w:t>张亚军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CF6EBB" w:rsidRPr="00CF6EBB">
        <w:rPr>
          <w:rFonts w:ascii="仿宋_GB2312" w:eastAsia="仿宋_GB2312" w:hAnsi="宋体"/>
          <w:color w:val="000000"/>
          <w:sz w:val="28"/>
          <w:szCs w:val="28"/>
        </w:rPr>
        <w:t>13998880172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 w:rsidR="004809AB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809AB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CF6EBB">
        <w:rPr>
          <w:rFonts w:ascii="仿宋" w:eastAsia="仿宋" w:hAnsi="仿宋" w:cs="仿宋"/>
          <w:sz w:val="28"/>
          <w:szCs w:val="28"/>
        </w:rPr>
        <w:t>2</w:t>
      </w:r>
      <w:r w:rsidR="001C0E08"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3200" w:rsidRDefault="001C3200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授权委托人近一年在本单位的社保证明材料</w:t>
            </w:r>
          </w:p>
          <w:p w:rsidR="00334F3C" w:rsidRPr="006B6463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4E" w:rsidRDefault="00454E4E" w:rsidP="006B6C3A">
      <w:r>
        <w:separator/>
      </w:r>
    </w:p>
  </w:endnote>
  <w:endnote w:type="continuationSeparator" w:id="0">
    <w:p w:rsidR="00454E4E" w:rsidRDefault="00454E4E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4E" w:rsidRDefault="00454E4E" w:rsidP="006B6C3A">
      <w:r>
        <w:separator/>
      </w:r>
    </w:p>
  </w:footnote>
  <w:footnote w:type="continuationSeparator" w:id="0">
    <w:p w:rsidR="00454E4E" w:rsidRDefault="00454E4E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C5A4E"/>
    <w:rsid w:val="000E7690"/>
    <w:rsid w:val="000F4331"/>
    <w:rsid w:val="000F5B3E"/>
    <w:rsid w:val="00106509"/>
    <w:rsid w:val="0011412F"/>
    <w:rsid w:val="00125794"/>
    <w:rsid w:val="00130DBB"/>
    <w:rsid w:val="00173167"/>
    <w:rsid w:val="001B14FC"/>
    <w:rsid w:val="001B6352"/>
    <w:rsid w:val="001C0779"/>
    <w:rsid w:val="001C0A53"/>
    <w:rsid w:val="001C0E08"/>
    <w:rsid w:val="001C3200"/>
    <w:rsid w:val="001C54AE"/>
    <w:rsid w:val="00202840"/>
    <w:rsid w:val="0021010E"/>
    <w:rsid w:val="0023151B"/>
    <w:rsid w:val="0024228C"/>
    <w:rsid w:val="00266BA7"/>
    <w:rsid w:val="002B4BDE"/>
    <w:rsid w:val="00334F3C"/>
    <w:rsid w:val="00375F01"/>
    <w:rsid w:val="00381F2A"/>
    <w:rsid w:val="0038487B"/>
    <w:rsid w:val="003B6EF3"/>
    <w:rsid w:val="003E1F7B"/>
    <w:rsid w:val="003E26EB"/>
    <w:rsid w:val="003F4823"/>
    <w:rsid w:val="00405BE5"/>
    <w:rsid w:val="0041481A"/>
    <w:rsid w:val="00453875"/>
    <w:rsid w:val="00454E4E"/>
    <w:rsid w:val="00461379"/>
    <w:rsid w:val="004631BA"/>
    <w:rsid w:val="00467241"/>
    <w:rsid w:val="0047400E"/>
    <w:rsid w:val="004809AB"/>
    <w:rsid w:val="00482BCF"/>
    <w:rsid w:val="004A32FB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74783"/>
    <w:rsid w:val="006A5F2C"/>
    <w:rsid w:val="006B6463"/>
    <w:rsid w:val="006B6C3A"/>
    <w:rsid w:val="006C345F"/>
    <w:rsid w:val="00727111"/>
    <w:rsid w:val="007F1209"/>
    <w:rsid w:val="0080323E"/>
    <w:rsid w:val="008107ED"/>
    <w:rsid w:val="0082709A"/>
    <w:rsid w:val="00902120"/>
    <w:rsid w:val="00921E54"/>
    <w:rsid w:val="00964DED"/>
    <w:rsid w:val="0097180A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46BC"/>
    <w:rsid w:val="00B821A6"/>
    <w:rsid w:val="00BB598C"/>
    <w:rsid w:val="00BC1601"/>
    <w:rsid w:val="00BE311D"/>
    <w:rsid w:val="00C23AF0"/>
    <w:rsid w:val="00C42B89"/>
    <w:rsid w:val="00C87FFE"/>
    <w:rsid w:val="00CF6EBB"/>
    <w:rsid w:val="00D03E0C"/>
    <w:rsid w:val="00D2189D"/>
    <w:rsid w:val="00D24476"/>
    <w:rsid w:val="00D91035"/>
    <w:rsid w:val="00DC0575"/>
    <w:rsid w:val="00DE056D"/>
    <w:rsid w:val="00DE3FA5"/>
    <w:rsid w:val="00E02323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3283F"/>
    <w:rsid w:val="00F60328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9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81</cp:revision>
  <cp:lastPrinted>2023-08-31T01:57:00Z</cp:lastPrinted>
  <dcterms:created xsi:type="dcterms:W3CDTF">2017-11-28T06:37:00Z</dcterms:created>
  <dcterms:modified xsi:type="dcterms:W3CDTF">2024-03-27T06:55:00Z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