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附件1：</w:t>
      </w: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潜在竞价单位报名提供信息表</w:t>
      </w:r>
    </w:p>
    <w:p>
      <w:pPr>
        <w:jc w:val="center"/>
        <w:rPr>
          <w:rFonts w:hint="eastAsia" w:ascii="仿宋" w:hAnsi="仿宋" w:eastAsia="仿宋" w:cs="仿宋"/>
          <w:b/>
          <w:sz w:val="28"/>
          <w:szCs w:val="28"/>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399"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潜在竞谈方名称</w:t>
            </w:r>
          </w:p>
        </w:tc>
        <w:tc>
          <w:tcPr>
            <w:tcW w:w="1630"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标段</w:t>
            </w:r>
          </w:p>
        </w:tc>
        <w:tc>
          <w:tcPr>
            <w:tcW w:w="1538"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1713"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85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bl>
    <w:p>
      <w:pPr>
        <w:ind w:right="640"/>
        <w:rPr>
          <w:rFonts w:hint="eastAsia" w:ascii="仿宋" w:hAnsi="仿宋" w:eastAsia="仿宋" w:cs="仿宋"/>
          <w:color w:val="FF0000"/>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保密承诺书</w:t>
      </w:r>
    </w:p>
    <w:p>
      <w:pPr>
        <w:ind w:right="1760" w:firstLine="560" w:firstLineChars="200"/>
        <w:jc w:val="both"/>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甲方：</w:t>
      </w:r>
      <w:r>
        <w:rPr>
          <w:rFonts w:hint="eastAsia" w:ascii="仿宋" w:hAnsi="仿宋" w:eastAsia="仿宋" w:cs="仿宋"/>
          <w:sz w:val="28"/>
          <w:szCs w:val="28"/>
        </w:rPr>
        <w:t>内蒙古智慧质量中心有限公司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地址：</w:t>
      </w:r>
      <w:r>
        <w:rPr>
          <w:rFonts w:hint="eastAsia" w:ascii="仿宋" w:hAnsi="仿宋" w:eastAsia="仿宋" w:cs="仿宋"/>
          <w:kern w:val="2"/>
          <w:sz w:val="28"/>
          <w:szCs w:val="28"/>
          <w:lang w:val="en-US" w:eastAsia="zh-CN" w:bidi="ar-SA"/>
        </w:rPr>
        <w:t>内蒙古自治区呼和浩特市和林格尔县盛乐经济园区蒙牛乳业研发大楼五楼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乙方（承诺方）：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28"/>
          <w:szCs w:val="28"/>
          <w:u w:val="none"/>
        </w:rPr>
      </w:pPr>
    </w:p>
    <w:p>
      <w:pPr>
        <w:ind w:firstLine="560" w:firstLineChars="200"/>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甲乙双方就</w:t>
      </w:r>
      <w:r>
        <w:rPr>
          <w:rFonts w:hint="eastAsia" w:ascii="仿宋_GB2312" w:hAnsi="宋体" w:eastAsia="仿宋_GB2312" w:cs="Times New Roman"/>
          <w:b w:val="0"/>
          <w:bCs w:val="0"/>
          <w:sz w:val="28"/>
          <w:szCs w:val="28"/>
          <w:lang w:val="en-US" w:eastAsia="zh-CN"/>
        </w:rPr>
        <w:t>内蒙古智慧质量中心有限公司高新技术企业认定项目</w:t>
      </w:r>
      <w:r>
        <w:rPr>
          <w:rFonts w:hint="eastAsia" w:ascii="仿宋" w:hAnsi="仿宋" w:eastAsia="仿宋" w:cs="仿宋"/>
          <w:i w:val="0"/>
          <w:iCs w:val="0"/>
          <w:caps w:val="0"/>
          <w:color w:val="323232"/>
          <w:spacing w:val="0"/>
          <w:sz w:val="28"/>
          <w:szCs w:val="28"/>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一、定义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（一）由乙方以书面文件证明：该等信息已于披露之前已由乙方所持有；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（二）已公开发表或非因乙方作为或不作为的原因，已向公众披露；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（三）已由甲方书面同意乙方公开；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（四）由乙方在未使用该等机密信息的情形下独立开发；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（五）乙方从第三方处合法、正当地取得，且该第三方对该等机密信息不承担保密义务。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二、保密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三、公开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四、强制性披露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五、返还资料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在承诺书目的终止、撤消、完成、被拒绝或以其他方式解除后，根据甲方的书面要求，乙方应在项目谈判协商终止后的</w:t>
      </w:r>
      <w:r>
        <w:rPr>
          <w:rFonts w:hint="eastAsia" w:ascii="仿宋" w:hAnsi="仿宋" w:eastAsia="仿宋" w:cs="仿宋"/>
          <w:i w:val="0"/>
          <w:iCs w:val="0"/>
          <w:caps w:val="0"/>
          <w:color w:val="323232"/>
          <w:spacing w:val="0"/>
          <w:sz w:val="28"/>
          <w:szCs w:val="28"/>
          <w:u w:val="single"/>
          <w:shd w:val="clear" w:fill="FFFFFF"/>
          <w:vertAlign w:val="baseline"/>
        </w:rPr>
        <w:t>10</w:t>
      </w:r>
      <w:r>
        <w:rPr>
          <w:rFonts w:hint="eastAsia" w:ascii="仿宋" w:hAnsi="仿宋" w:eastAsia="仿宋" w:cs="仿宋"/>
          <w:i w:val="0"/>
          <w:iCs w:val="0"/>
          <w:caps w:val="0"/>
          <w:color w:val="323232"/>
          <w:spacing w:val="0"/>
          <w:sz w:val="28"/>
          <w:szCs w:val="28"/>
          <w:u w:val="none"/>
          <w:shd w:val="clear" w:fill="FFFFFF"/>
          <w:vertAlign w:val="baseli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六、非授权许可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七、义务限定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八、信息准确性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九、期限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本承诺书中乙方之保密义务应自乙方收到机密信息之日起</w:t>
      </w:r>
      <w:r>
        <w:rPr>
          <w:rFonts w:hint="eastAsia" w:ascii="仿宋" w:hAnsi="仿宋" w:eastAsia="仿宋" w:cs="仿宋"/>
          <w:i w:val="0"/>
          <w:iCs w:val="0"/>
          <w:caps w:val="0"/>
          <w:color w:val="323232"/>
          <w:spacing w:val="0"/>
          <w:sz w:val="28"/>
          <w:szCs w:val="28"/>
          <w:u w:val="single"/>
          <w:shd w:val="clear" w:fill="FFFFFF"/>
          <w:vertAlign w:val="baseline"/>
        </w:rPr>
        <w:t>5</w:t>
      </w:r>
      <w:r>
        <w:rPr>
          <w:rFonts w:hint="eastAsia" w:ascii="仿宋" w:hAnsi="仿宋" w:eastAsia="仿宋" w:cs="仿宋"/>
          <w:i w:val="0"/>
          <w:iCs w:val="0"/>
          <w:caps w:val="0"/>
          <w:color w:val="323232"/>
          <w:spacing w:val="0"/>
          <w:sz w:val="28"/>
          <w:szCs w:val="28"/>
          <w:u w:val="none"/>
          <w:shd w:val="clear" w:fill="FFFFFF"/>
          <w:vertAlign w:val="baseline"/>
        </w:rPr>
        <w:t>年内持续有效，且不因承诺书目的之达成而终止。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十、补充条款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（一）合规条款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2、履约行为合规承诺：乙方承诺具有履行本承诺书约定的能力，且履行行为符合现行法律法规等规范性文件的要求。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5、劳动用工: 乙方承诺不雇佣、使用童工，保障其员工的劳动合法权益，不纵容、支持、实施歧视、威胁员工的行为或发布相关言论。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7、严格约束乙方员工及其代理人：乙方承诺严格遵守合规承诺条款，若乙方员工及乙方的代理人或代理机构违反相关承诺即视为乙方违反。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10、责任承担：如果乙方违反前述合规承诺条款，甲方有权要求乙方承担因此而给甲方造成的全部损失。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lang w:val="en-US" w:eastAsia="zh-CN"/>
        </w:rPr>
        <w:t>11</w:t>
      </w:r>
      <w:r>
        <w:rPr>
          <w:rFonts w:hint="eastAsia" w:ascii="仿宋" w:hAnsi="仿宋" w:eastAsia="仿宋" w:cs="仿宋"/>
          <w:i w:val="0"/>
          <w:iCs w:val="0"/>
          <w:caps w:val="0"/>
          <w:color w:val="323232"/>
          <w:spacing w:val="0"/>
          <w:sz w:val="28"/>
          <w:szCs w:val="28"/>
          <w:u w:val="none"/>
          <w:shd w:val="clear" w:fill="FFFFFF"/>
          <w:vertAlign w:val="baseline"/>
        </w:rPr>
        <w:t>、适用原则：本承诺书中合规条款对乙方的要求与承诺书中其他条款不一致的，以对乙方要求更高的条款为准。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（二）环境保护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（三）附件法律效力条款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十一、适用法律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aps w:val="0"/>
          <w:color w:val="323232"/>
          <w:spacing w:val="0"/>
          <w:sz w:val="28"/>
          <w:szCs w:val="28"/>
          <w:u w:val="single"/>
          <w:shd w:val="clear" w:fill="FFFFFF"/>
          <w:vertAlign w:val="baseline"/>
        </w:rPr>
        <w:t>【 一 】</w:t>
      </w:r>
      <w:r>
        <w:rPr>
          <w:rFonts w:hint="eastAsia" w:ascii="仿宋" w:hAnsi="仿宋" w:eastAsia="仿宋" w:cs="仿宋"/>
          <w:i w:val="0"/>
          <w:iCs w:val="0"/>
          <w:caps w:val="0"/>
          <w:color w:val="323232"/>
          <w:spacing w:val="0"/>
          <w:sz w:val="28"/>
          <w:szCs w:val="28"/>
          <w:u w:val="none"/>
          <w:shd w:val="clear" w:fill="FFFFFF"/>
          <w:vertAlign w:val="baseline"/>
        </w:rPr>
        <w:t>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（一）向呼和浩特仲裁委员会申请仲裁。因仲裁产生的包括但不限于仲裁费、律师费、调查费、差旅费等，由乙方承担。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（二）向甲方所在地有管辖权的人民法院提起诉讼。因诉讼产生的包括但不限于诉讼费、律师费、调查费、差旅费等，由乙方承担。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十二、违约责任及救济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如果乙方违反本承诺书的任何规定情形,则甲方有权将乙方拉入蒙牛供应商黑名单，乙方应积极配合甲方在10个工作日内收回已经泄露的信息。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十三、生效及份数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本承诺书经乙方签字盖章之日起生效。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（以下无正文）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乙方（承诺方）：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日期：</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A1MTJjNzY3ZWQ0OTBkNDNhNjlmMzRiYWE0MjEifQ=="/>
  </w:docVars>
  <w:rsids>
    <w:rsidRoot w:val="436638FA"/>
    <w:rsid w:val="00885C22"/>
    <w:rsid w:val="011C626C"/>
    <w:rsid w:val="048E122E"/>
    <w:rsid w:val="05FE4192"/>
    <w:rsid w:val="082223BA"/>
    <w:rsid w:val="093F5B16"/>
    <w:rsid w:val="0AC21C32"/>
    <w:rsid w:val="0DBA12E6"/>
    <w:rsid w:val="0E7D10FE"/>
    <w:rsid w:val="11437ADD"/>
    <w:rsid w:val="12900868"/>
    <w:rsid w:val="14C173FE"/>
    <w:rsid w:val="1AAE21D3"/>
    <w:rsid w:val="1CC25AC1"/>
    <w:rsid w:val="1CCD2AA9"/>
    <w:rsid w:val="1D6129A7"/>
    <w:rsid w:val="1DDE692B"/>
    <w:rsid w:val="20B63B8F"/>
    <w:rsid w:val="23111551"/>
    <w:rsid w:val="23953F30"/>
    <w:rsid w:val="25473008"/>
    <w:rsid w:val="263B09F5"/>
    <w:rsid w:val="299E3412"/>
    <w:rsid w:val="2D377E06"/>
    <w:rsid w:val="2EF3181C"/>
    <w:rsid w:val="30B579BF"/>
    <w:rsid w:val="34F277AF"/>
    <w:rsid w:val="36145188"/>
    <w:rsid w:val="3ABB2076"/>
    <w:rsid w:val="3AF910BE"/>
    <w:rsid w:val="3C5E0F0B"/>
    <w:rsid w:val="3D470331"/>
    <w:rsid w:val="3EC81EEB"/>
    <w:rsid w:val="41540E79"/>
    <w:rsid w:val="436638FA"/>
    <w:rsid w:val="44817E8C"/>
    <w:rsid w:val="470E05E0"/>
    <w:rsid w:val="4A0A26D2"/>
    <w:rsid w:val="4AEC002A"/>
    <w:rsid w:val="4BF058F8"/>
    <w:rsid w:val="4E2875CB"/>
    <w:rsid w:val="4F087F80"/>
    <w:rsid w:val="505530A6"/>
    <w:rsid w:val="51FD35E2"/>
    <w:rsid w:val="528A2602"/>
    <w:rsid w:val="538A03E0"/>
    <w:rsid w:val="54E42D93"/>
    <w:rsid w:val="55D10548"/>
    <w:rsid w:val="56354074"/>
    <w:rsid w:val="57284198"/>
    <w:rsid w:val="5927664D"/>
    <w:rsid w:val="5A671258"/>
    <w:rsid w:val="5CE15514"/>
    <w:rsid w:val="5E865022"/>
    <w:rsid w:val="609603C4"/>
    <w:rsid w:val="66091638"/>
    <w:rsid w:val="6C101972"/>
    <w:rsid w:val="6DD16EDF"/>
    <w:rsid w:val="6EF2535F"/>
    <w:rsid w:val="7024474C"/>
    <w:rsid w:val="70875F7B"/>
    <w:rsid w:val="728C7879"/>
    <w:rsid w:val="736A3585"/>
    <w:rsid w:val="75FB72AA"/>
    <w:rsid w:val="77147E3D"/>
    <w:rsid w:val="790E29D8"/>
    <w:rsid w:val="7C916151"/>
    <w:rsid w:val="7E19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autoRedefine/>
    <w:qFormat/>
    <w:uiPriority w:val="0"/>
    <w:rPr>
      <w:color w:val="0000FF"/>
      <w:u w:val="none"/>
    </w:rPr>
  </w:style>
  <w:style w:type="paragraph" w:styleId="7">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2024-03-22T08:13:00Z</dcterms:created>
  <dc:creator>金箫</dc:creator>
  <cp:lastModifiedBy>陈丽娟</cp:lastModifiedBy>
  <dcterms:modified xsi:type="dcterms:W3CDTF">2024-04-03T01:59:50Z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0AEFD25222B9448B92A337D7924DC954_11</vt:lpwstr>
  </property>
</Properties>
</file>