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color w:val="FF0000"/>
          <w:kern w:val="0"/>
          <w:sz w:val="24"/>
          <w:szCs w:val="24"/>
        </w:rPr>
      </w:pPr>
      <w:r>
        <w:rPr>
          <w:rFonts w:hint="eastAsia" w:ascii="仿宋" w:hAnsi="仿宋" w:eastAsia="仿宋" w:cs="仿宋"/>
          <w:b/>
          <w:bCs/>
          <w:kern w:val="0"/>
          <w:sz w:val="30"/>
          <w:szCs w:val="30"/>
          <w:lang w:eastAsia="zh-CN"/>
        </w:rPr>
        <w:t>蒙牛乳业常温宿迁新建项目新增立体库配套低压配电柜及电气安装工程</w:t>
      </w:r>
      <w:r>
        <w:rPr>
          <w:rFonts w:hint="eastAsia" w:ascii="仿宋" w:hAnsi="仿宋" w:eastAsia="仿宋" w:cs="仿宋"/>
          <w:b/>
          <w:bCs/>
          <w:kern w:val="0"/>
          <w:sz w:val="30"/>
          <w:szCs w:val="30"/>
        </w:rPr>
        <w:t>竞争性谈判信息公告</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内蒙古华晟工程项目管理有限公司受</w:t>
      </w:r>
      <w:r>
        <w:rPr>
          <w:rFonts w:hint="eastAsia" w:ascii="仿宋" w:hAnsi="仿宋" w:eastAsia="仿宋" w:cs="仿宋"/>
          <w:sz w:val="24"/>
          <w:szCs w:val="24"/>
        </w:rPr>
        <w:t>内蒙古蒙牛乳业（集团）股份有限公司</w:t>
      </w:r>
      <w:r>
        <w:rPr>
          <w:rFonts w:hint="eastAsia" w:ascii="仿宋" w:hAnsi="仿宋" w:eastAsia="仿宋" w:cs="仿宋"/>
          <w:sz w:val="24"/>
          <w:szCs w:val="24"/>
          <w:lang w:val="en-US" w:eastAsia="zh-CN"/>
        </w:rPr>
        <w:t>委托，现对蒙牛乳业常温宿迁新建项目新增立体库配套低压配电柜及电气安装工程</w:t>
      </w:r>
      <w:r>
        <w:rPr>
          <w:rFonts w:hint="eastAsia" w:ascii="仿宋" w:hAnsi="仿宋" w:eastAsia="仿宋" w:cs="仿宋"/>
          <w:sz w:val="24"/>
          <w:szCs w:val="24"/>
        </w:rPr>
        <w:t>进行竞争性谈判, 欢迎符合资格条件的</w:t>
      </w:r>
      <w:r>
        <w:rPr>
          <w:rFonts w:hint="eastAsia" w:ascii="仿宋" w:hAnsi="仿宋" w:eastAsia="仿宋" w:cs="仿宋"/>
          <w:sz w:val="24"/>
          <w:szCs w:val="24"/>
          <w:lang w:val="en-US" w:eastAsia="zh-CN"/>
        </w:rPr>
        <w:t>竞谈人</w:t>
      </w:r>
      <w:r>
        <w:rPr>
          <w:rFonts w:hint="eastAsia" w:ascii="仿宋" w:hAnsi="仿宋" w:eastAsia="仿宋" w:cs="仿宋"/>
          <w:sz w:val="24"/>
          <w:szCs w:val="24"/>
        </w:rPr>
        <w:t>参加。</w:t>
      </w:r>
    </w:p>
    <w:p>
      <w:pPr>
        <w:keepNext w:val="0"/>
        <w:keepLines w:val="0"/>
        <w:pageBreakBefore w:val="0"/>
        <w:widowControl w:val="0"/>
        <w:kinsoku/>
        <w:wordWrap/>
        <w:overflowPunct/>
        <w:bidi w:val="0"/>
        <w:spacing w:line="360" w:lineRule="auto"/>
        <w:ind w:left="0" w:leftChars="0" w:right="0" w:firstLine="482" w:firstLineChars="200"/>
        <w:textAlignment w:val="auto"/>
        <w:rPr>
          <w:rFonts w:hint="default" w:ascii="仿宋" w:hAnsi="仿宋" w:eastAsia="仿宋" w:cs="仿宋"/>
          <w:sz w:val="24"/>
          <w:szCs w:val="24"/>
          <w:lang w:val="en-US" w:eastAsia="zh-CN"/>
        </w:rPr>
      </w:pPr>
      <w:r>
        <w:rPr>
          <w:rFonts w:hint="eastAsia" w:ascii="仿宋" w:hAnsi="仿宋" w:eastAsia="仿宋" w:cs="仿宋"/>
          <w:b/>
          <w:sz w:val="24"/>
          <w:szCs w:val="24"/>
        </w:rPr>
        <w:t>一、项目编号：MNCGJH-20240426-0019</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sz w:val="24"/>
          <w:szCs w:val="24"/>
        </w:rPr>
        <w:t>：</w:t>
      </w:r>
      <w:r>
        <w:rPr>
          <w:rFonts w:hint="eastAsia" w:ascii="仿宋" w:hAnsi="仿宋" w:eastAsia="仿宋" w:cs="仿宋"/>
          <w:b w:val="0"/>
          <w:bCs/>
          <w:sz w:val="24"/>
          <w:szCs w:val="24"/>
          <w:lang w:val="en-US" w:eastAsia="zh-CN"/>
        </w:rPr>
        <w:t>蒙牛乳业常温宿迁新建项目新增立体库配套低压配电柜及电气安装工程</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概况：本项目为蒙牛乳业常温宿迁新建项目新增立体库配套低压配电柜及电气安装工程，项目位于江苏省宿迁市宿城区市经济开发区苏州路777号，项目内容主要包括低压柜、动力电缆采购及安装和电缆保护管道敷设、电缆桥架采购及安装及配电柜电气安装工程。</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2、竞谈范围：</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Autospacing="0" w:line="360" w:lineRule="auto"/>
        <w:ind w:left="0" w:leftChars="0" w:right="0" w:rightChars="0" w:firstLine="567" w:firstLineChars="0"/>
        <w:textAlignment w:val="auto"/>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0.4Kv低压配电GGD柜12台（包括设备采购费、税费、运输费、技术服务费、售后服务费、备品备件费、保险费）。</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Autospacing="0" w:line="360" w:lineRule="auto"/>
        <w:ind w:left="0" w:leftChars="0" w:right="0" w:rightChars="0" w:firstLine="567" w:firstLineChars="0"/>
        <w:textAlignment w:val="auto"/>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低压配电柜安装（包括卸货、搬运、就位、铜排连接、单台及系统调试）。</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Autospacing="0" w:line="360" w:lineRule="auto"/>
        <w:ind w:left="0" w:leftChars="0" w:right="0" w:rightChars="0" w:firstLine="567" w:firstLineChars="0"/>
        <w:textAlignment w:val="auto"/>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动力电缆采购及安装、电缆保护管道敷设、电缆桥架采购及安装等工程施工。</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Autospacing="0" w:line="360" w:lineRule="auto"/>
        <w:ind w:left="0" w:leftChars="0" w:right="0" w:rightChars="0" w:firstLine="567" w:firstLineChars="0"/>
        <w:textAlignment w:val="auto"/>
        <w:rPr>
          <w:rFonts w:hint="eastAsia" w:ascii="仿宋" w:hAnsi="仿宋" w:eastAsia="仿宋" w:cs="仿宋"/>
          <w:sz w:val="24"/>
          <w:szCs w:val="24"/>
          <w:highlight w:val="none"/>
          <w:lang w:val="en-US" w:eastAsia="zh-CN"/>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lang w:val="en-US" w:eastAsia="zh-CN"/>
        </w:rPr>
        <w:t>报价中含安全文明施工费用。</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3、计划工期：2024年5月28日—2024年8月18日</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四、资格要求：</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1、竞谈人必须是在中华人民共和国境内注册的具有独立法人资格的企事业单位，注册资金500万元及以上；</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2、竞谈人须具有一般纳税人资格；</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3、竞谈人授权委托人须为本企业在职人员；</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4、竞谈人需具有建设行政主管部门颁发的机电工程施工总承包二级资质及以上或建筑机电安装工程专业承包二级资质及以上，和有效的安全生产许可证；</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竞谈人拟派项目经理须为在本企业注册的建造师，具备二级注册机电安装工程执业资格和有效的安全生产考核合格证书（须为项目负责人安全生产考核合格证，即“建安B”类证），在本企业工作担任项目经理岗位2年以上，并提供相应社保证明，且未在其他任何在建工程中任职；</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6、业绩要求：竞谈人须具有2021年1月1日至今至少两个类似项目业绩（以合同为准）；</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7、竞谈人须具有2020至2022年或2021至2023年第三方财务审计报告；</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8、竞谈人未被列入国家企业信用信息公示系统（http://www.gsxt.gov.cn/index.html）严重违法失信企业名单；</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9、竞谈人在“中华人民共和国应急管理部（https://www.mem.gov.cn/）”近一年内无公开曝光的安全事件；</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10、竞谈人严格执行国家有关安全生产的各项法律法规及行业管理条例，认真贯彻落实各项安全生产管理制度，近一年内，无安全生产失信行为和无被安全监督部门公开曝光的事件。</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12、本项目不接受联合体投标，不允许分包或转包。</w:t>
      </w:r>
    </w:p>
    <w:p>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13、不接受中粮及蒙牛供应商黑名单（以蒙牛集团采购执行管理部下发的黑名单为准）的企业参与竞争；</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14、竞谈人须符合蒙牛集团《承包商安全管理制度》审查要求。</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i/>
          <w:color w:val="FF0000"/>
          <w:sz w:val="24"/>
          <w:szCs w:val="24"/>
        </w:rPr>
      </w:pPr>
      <w:r>
        <w:rPr>
          <w:rFonts w:hint="eastAsia" w:ascii="仿宋" w:hAnsi="仿宋" w:eastAsia="仿宋" w:cs="仿宋"/>
          <w:b/>
          <w:color w:val="000000"/>
          <w:sz w:val="24"/>
          <w:szCs w:val="24"/>
        </w:rPr>
        <w:t>五、报名须知</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报名资格文件按照如下要求提供：</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（1）提供有效的营业执照；</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（2）提供法定代表人证明书或授权委托书原件；</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备注：法定代表人须上传法人证明材料及身份证原件扫描件，若为被授权人须上传一份法人授权委托书和身份证原件扫描件及授权委托人近一年内在本单位的社保证明材料。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（3）提供一般纳税人资格证明材料；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（4）提供建设行政主管部门颁发的机电工程施工总承包二级资质及以上或建筑机电安装工程专业承包二级资质及以上。</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提供拟派项目经理须为在本企业注册的建造师，具备二级注册机电安装工程执业资格和有效的安全生产考核合格证书（须为项目负责人安全生产考核合格证，即“建安B”类证），在本企业工作担任项目经理岗位2年以上，并提供相应社保证明，且未在其他任何在建工程中任职；</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（6）提供近三年（2020至2022年或2021至2023年）经过第三方专业审计机构出具的财务审计报告；</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highlight w:val="none"/>
          <w:lang w:val="en-US" w:eastAsia="zh-CN"/>
        </w:rPr>
        <w:t>）提供2021年1月1日至今至少两个类似项目业绩（以合同为准）</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（8）</w:t>
      </w:r>
      <w:r>
        <w:rPr>
          <w:rFonts w:hint="eastAsia" w:ascii="仿宋" w:hAnsi="仿宋" w:eastAsia="仿宋" w:cs="仿宋"/>
          <w:color w:val="000000"/>
          <w:sz w:val="24"/>
          <w:szCs w:val="24"/>
          <w:highlight w:val="none"/>
          <w:lang w:val="en-US" w:eastAsia="zh-CN"/>
        </w:rPr>
        <w:t>提供</w:t>
      </w:r>
      <w:r>
        <w:rPr>
          <w:rFonts w:hint="eastAsia" w:ascii="仿宋" w:hAnsi="仿宋" w:eastAsia="仿宋" w:cs="仿宋"/>
          <w:color w:val="000000"/>
          <w:sz w:val="24"/>
          <w:szCs w:val="24"/>
          <w:highlight w:val="none"/>
        </w:rPr>
        <w:t>未被列入国家企业信用信息公示</w:t>
      </w:r>
      <w:r>
        <w:rPr>
          <w:rFonts w:hint="eastAsia" w:ascii="仿宋" w:hAnsi="仿宋" w:eastAsia="仿宋" w:cs="仿宋"/>
          <w:color w:val="000000"/>
          <w:sz w:val="24"/>
          <w:szCs w:val="24"/>
          <w:highlight w:val="none"/>
          <w:lang w:val="en-US" w:eastAsia="zh-CN"/>
        </w:rPr>
        <w:t>系统</w:t>
      </w:r>
      <w:r>
        <w:rPr>
          <w:rFonts w:hint="eastAsia" w:ascii="仿宋" w:hAnsi="仿宋" w:eastAsia="仿宋" w:cs="仿宋"/>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"http://www.gsxt.gov.cn/index.html%EF%BC%89%E4%B8%A5%E9%87%8D%E8%BF%9D%E6%B3%95%E5%A4%B1%E4%BF%A1%E4%BC%81%E4%B8%9A%E5%90%8D%E5%8D%95"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http://www.gsxt.gov.cn/index.html）严重违法失信企业名单</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证明材料</w:t>
      </w:r>
      <w:r>
        <w:rPr>
          <w:rFonts w:hint="eastAsia" w:ascii="仿宋" w:hAnsi="仿宋" w:eastAsia="仿宋" w:cs="仿宋"/>
          <w:sz w:val="24"/>
          <w:szCs w:val="24"/>
        </w:rPr>
        <w:t>。</w:t>
      </w:r>
    </w:p>
    <w:p>
      <w:pPr>
        <w:pStyle w:val="16"/>
        <w:keepNext w:val="0"/>
        <w:keepLines w:val="0"/>
        <w:pageBreakBefore w:val="0"/>
        <w:widowControl w:val="0"/>
        <w:kinsoku/>
        <w:wordWrap w:val="0"/>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（9）</w:t>
      </w:r>
      <w:r>
        <w:rPr>
          <w:rFonts w:hint="eastAsia" w:ascii="仿宋" w:hAnsi="仿宋" w:eastAsia="仿宋" w:cs="仿宋"/>
          <w:sz w:val="24"/>
          <w:szCs w:val="24"/>
          <w:lang w:val="en-US" w:eastAsia="zh-CN"/>
        </w:rPr>
        <w:t>提供“中华人民共和国应急管理部（https://www.mem.gov.cn/）”近一年内无公开曝光的安全事件证明材料；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（10）提供安全生产承诺书</w:t>
      </w:r>
      <w:r>
        <w:rPr>
          <w:rFonts w:hint="eastAsia" w:ascii="仿宋" w:hAnsi="仿宋" w:eastAsia="仿宋" w:cs="仿宋"/>
          <w:color w:val="000000"/>
          <w:sz w:val="24"/>
          <w:szCs w:val="24"/>
        </w:rPr>
        <w:t>（附件</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（11）提供</w:t>
      </w:r>
      <w:r>
        <w:rPr>
          <w:rFonts w:hint="eastAsia" w:ascii="仿宋" w:hAnsi="仿宋" w:eastAsia="仿宋" w:cs="仿宋"/>
          <w:color w:val="000000"/>
          <w:sz w:val="24"/>
          <w:szCs w:val="24"/>
        </w:rPr>
        <w:t>保密</w:t>
      </w:r>
      <w:r>
        <w:rPr>
          <w:rFonts w:hint="eastAsia" w:ascii="仿宋" w:hAnsi="仿宋" w:eastAsia="仿宋" w:cs="仿宋"/>
          <w:color w:val="000000"/>
          <w:sz w:val="24"/>
          <w:szCs w:val="24"/>
          <w:lang w:val="en-US" w:eastAsia="zh-CN"/>
        </w:rPr>
        <w:t>承诺书</w:t>
      </w:r>
      <w:r>
        <w:rPr>
          <w:rFonts w:hint="eastAsia" w:ascii="仿宋" w:hAnsi="仿宋" w:eastAsia="仿宋" w:cs="仿宋"/>
          <w:sz w:val="24"/>
          <w:szCs w:val="24"/>
          <w:lang w:val="en-US" w:eastAsia="zh-CN"/>
        </w:rPr>
        <w:t>（附件1）。</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szCs w:val="24"/>
          <w:lang w:val="en-US" w:eastAsia="zh-CN"/>
        </w:rPr>
        <w:t>“蒙牛集团电子采购招标平台（</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"https://zbcg.mengniu.cn/" \l "/home" \t "_blank"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https://zbcg.mengniu.cn/#/home</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 xml:space="preserve"> ）”</w:t>
      </w:r>
      <w:bookmarkEnd w:id="0"/>
      <w:r>
        <w:rPr>
          <w:rFonts w:hint="eastAsia" w:ascii="仿宋" w:hAnsi="仿宋" w:eastAsia="仿宋" w:cs="仿宋"/>
          <w:sz w:val="24"/>
          <w:szCs w:val="24"/>
          <w:lang w:val="en-US" w:eastAsia="zh-CN"/>
        </w:rPr>
        <w:t>进行线上提交，进行资格审查（过期提交不予受理），审查合格后方可购买招标文件（仅作为发放招标文件的依据）。</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资料提供不全或模糊不清或未按时间要求提报的将被拒绝接收，所提供的资质、业绩文件中如有虚假情况，一经发现将被取消竞谈资格。</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竞谈人自购买谈判文件之日起，应确保其向采购人或招标代理机构提供的通讯手段（电话、邮箱）一直有效，以保证往来函件能及时传达并及时反馈信息，否则由此引起的一切后果由竞谈人承担。</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2、报名方式：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潜在竞谈人依据资格要求自主评估，符合条件的登录“蒙牛集团电子采购招标平台”进行网上报名、资格验证、购买谈判文件、澄清答疑和参与竞谈会等，过程中如有疑问可咨询平台服务支持，电话</w:t>
      </w:r>
      <w:r>
        <w:rPr>
          <w:rFonts w:hint="eastAsia" w:ascii="仿宋" w:hAnsi="仿宋" w:eastAsia="仿宋" w:cs="仿宋"/>
          <w:sz w:val="24"/>
          <w:szCs w:val="24"/>
          <w:highlight w:val="none"/>
          <w:lang w:val="en-US" w:eastAsia="zh-CN"/>
        </w:rPr>
        <w:t>4008056850</w:t>
      </w:r>
      <w:r>
        <w:rPr>
          <w:rFonts w:hint="eastAsia" w:ascii="仿宋" w:hAnsi="仿宋" w:eastAsia="仿宋" w:cs="仿宋"/>
          <w:sz w:val="24"/>
          <w:szCs w:val="24"/>
          <w:lang w:val="en-US" w:eastAsia="zh-CN"/>
        </w:rPr>
        <w:t>或咨询采购方业务咨询联系人</w:t>
      </w:r>
      <w:r>
        <w:rPr>
          <w:rFonts w:hint="eastAsia" w:ascii="仿宋" w:hAnsi="仿宋" w:eastAsia="仿宋" w:cs="仿宋"/>
          <w:sz w:val="24"/>
          <w:szCs w:val="24"/>
          <w:highlight w:val="none"/>
          <w:lang w:val="en-US" w:eastAsia="zh-CN"/>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六、项目时间安排及要求：</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1、报名时间：</w:t>
      </w:r>
      <w:r>
        <w:rPr>
          <w:rFonts w:hint="eastAsia" w:ascii="仿宋" w:hAnsi="仿宋" w:eastAsia="仿宋" w:cs="仿宋"/>
          <w:sz w:val="24"/>
          <w:szCs w:val="24"/>
          <w:u w:val="none"/>
          <w:lang w:val="en-US" w:eastAsia="zh-CN"/>
        </w:rPr>
        <w:t>2024</w:t>
      </w:r>
      <w:r>
        <w:rPr>
          <w:rFonts w:hint="eastAsia" w:ascii="仿宋" w:hAnsi="仿宋" w:eastAsia="仿宋" w:cs="仿宋"/>
          <w:sz w:val="24"/>
          <w:szCs w:val="24"/>
        </w:rPr>
        <w:t>年</w:t>
      </w:r>
      <w:r>
        <w:rPr>
          <w:rFonts w:hint="eastAsia" w:ascii="仿宋" w:hAnsi="仿宋" w:eastAsia="仿宋" w:cs="仿宋"/>
          <w:sz w:val="24"/>
          <w:szCs w:val="24"/>
          <w:u w:val="none"/>
          <w:lang w:val="en-US" w:eastAsia="zh-CN"/>
        </w:rPr>
        <w:t>5</w:t>
      </w:r>
      <w:r>
        <w:rPr>
          <w:rFonts w:hint="eastAsia" w:ascii="仿宋" w:hAnsi="仿宋" w:eastAsia="仿宋" w:cs="仿宋"/>
          <w:sz w:val="24"/>
          <w:szCs w:val="24"/>
        </w:rPr>
        <w:t>月</w:t>
      </w:r>
      <w:r>
        <w:rPr>
          <w:rFonts w:hint="eastAsia" w:ascii="仿宋" w:hAnsi="仿宋" w:eastAsia="仿宋" w:cs="仿宋"/>
          <w:sz w:val="24"/>
          <w:szCs w:val="24"/>
          <w:u w:val="none"/>
          <w:lang w:val="en-US" w:eastAsia="zh-CN"/>
        </w:rPr>
        <w:t>7</w:t>
      </w:r>
      <w:r>
        <w:rPr>
          <w:rFonts w:hint="eastAsia" w:ascii="仿宋" w:hAnsi="仿宋" w:eastAsia="仿宋" w:cs="仿宋"/>
          <w:sz w:val="24"/>
          <w:szCs w:val="24"/>
        </w:rPr>
        <w:t>日</w:t>
      </w:r>
      <w:r>
        <w:rPr>
          <w:rFonts w:hint="eastAsia" w:ascii="仿宋" w:hAnsi="仿宋" w:eastAsia="仿宋" w:cs="仿宋"/>
          <w:sz w:val="24"/>
          <w:szCs w:val="24"/>
          <w:lang w:val="en-US" w:eastAsia="zh-CN"/>
        </w:rPr>
        <w:t>0时</w:t>
      </w:r>
      <w:r>
        <w:rPr>
          <w:rFonts w:hint="eastAsia" w:ascii="仿宋" w:hAnsi="仿宋" w:eastAsia="仿宋" w:cs="仿宋"/>
          <w:sz w:val="24"/>
          <w:szCs w:val="24"/>
        </w:rPr>
        <w:t>至</w:t>
      </w:r>
      <w:r>
        <w:rPr>
          <w:rFonts w:hint="eastAsia" w:ascii="仿宋" w:hAnsi="仿宋" w:eastAsia="仿宋" w:cs="仿宋"/>
          <w:sz w:val="24"/>
          <w:szCs w:val="24"/>
          <w:u w:val="none"/>
          <w:lang w:val="en-US" w:eastAsia="zh-CN"/>
        </w:rPr>
        <w:t>2024</w:t>
      </w:r>
      <w:r>
        <w:rPr>
          <w:rFonts w:hint="eastAsia" w:ascii="仿宋" w:hAnsi="仿宋" w:eastAsia="仿宋" w:cs="仿宋"/>
          <w:sz w:val="24"/>
          <w:szCs w:val="24"/>
        </w:rPr>
        <w:t>年</w:t>
      </w:r>
      <w:r>
        <w:rPr>
          <w:rFonts w:hint="eastAsia" w:ascii="仿宋" w:hAnsi="仿宋" w:eastAsia="仿宋" w:cs="仿宋"/>
          <w:sz w:val="24"/>
          <w:szCs w:val="24"/>
          <w:u w:val="none"/>
          <w:lang w:val="en-US" w:eastAsia="zh-CN"/>
        </w:rPr>
        <w:t>5</w:t>
      </w:r>
      <w:r>
        <w:rPr>
          <w:rFonts w:hint="eastAsia" w:ascii="仿宋" w:hAnsi="仿宋" w:eastAsia="仿宋" w:cs="仿宋"/>
          <w:sz w:val="24"/>
          <w:szCs w:val="24"/>
        </w:rPr>
        <w:t>月</w:t>
      </w:r>
      <w:r>
        <w:rPr>
          <w:rFonts w:hint="eastAsia" w:ascii="仿宋" w:hAnsi="仿宋" w:eastAsia="仿宋" w:cs="仿宋"/>
          <w:sz w:val="24"/>
          <w:szCs w:val="24"/>
          <w:u w:val="none"/>
          <w:lang w:val="en-US" w:eastAsia="zh-CN"/>
        </w:rPr>
        <w:t>11</w:t>
      </w:r>
      <w:r>
        <w:rPr>
          <w:rFonts w:hint="eastAsia" w:ascii="仿宋" w:hAnsi="仿宋" w:eastAsia="仿宋" w:cs="仿宋"/>
          <w:sz w:val="24"/>
          <w:szCs w:val="24"/>
        </w:rPr>
        <w:t>日</w:t>
      </w:r>
      <w:r>
        <w:rPr>
          <w:rFonts w:hint="eastAsia" w:ascii="仿宋" w:hAnsi="仿宋" w:eastAsia="仿宋" w:cs="仿宋"/>
          <w:sz w:val="24"/>
          <w:szCs w:val="24"/>
          <w:lang w:val="en-US" w:eastAsia="zh-CN"/>
        </w:rPr>
        <w:t>24时</w:t>
      </w:r>
      <w:r>
        <w:rPr>
          <w:rFonts w:hint="eastAsia" w:ascii="仿宋" w:hAnsi="仿宋" w:eastAsia="仿宋" w:cs="仿宋"/>
          <w:sz w:val="24"/>
          <w:szCs w:val="24"/>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2、资格预审时间：</w:t>
      </w:r>
      <w:r>
        <w:rPr>
          <w:rFonts w:hint="eastAsia" w:ascii="仿宋" w:hAnsi="仿宋" w:eastAsia="仿宋" w:cs="仿宋"/>
          <w:sz w:val="24"/>
          <w:szCs w:val="24"/>
          <w:u w:val="none"/>
          <w:lang w:val="en-US" w:eastAsia="zh-CN"/>
        </w:rPr>
        <w:t>2024</w:t>
      </w:r>
      <w:r>
        <w:rPr>
          <w:rFonts w:hint="eastAsia" w:ascii="仿宋" w:hAnsi="仿宋" w:eastAsia="仿宋" w:cs="仿宋"/>
          <w:sz w:val="24"/>
          <w:szCs w:val="24"/>
        </w:rPr>
        <w:t>年</w:t>
      </w:r>
      <w:r>
        <w:rPr>
          <w:rFonts w:hint="eastAsia" w:ascii="仿宋" w:hAnsi="仿宋" w:eastAsia="仿宋" w:cs="仿宋"/>
          <w:sz w:val="24"/>
          <w:szCs w:val="24"/>
          <w:u w:val="none"/>
          <w:lang w:val="en-US" w:eastAsia="zh-CN"/>
        </w:rPr>
        <w:t>5</w:t>
      </w:r>
      <w:r>
        <w:rPr>
          <w:rFonts w:hint="eastAsia" w:ascii="仿宋" w:hAnsi="仿宋" w:eastAsia="仿宋" w:cs="仿宋"/>
          <w:sz w:val="24"/>
          <w:szCs w:val="24"/>
        </w:rPr>
        <w:t>月</w:t>
      </w:r>
      <w:r>
        <w:rPr>
          <w:rFonts w:hint="eastAsia" w:ascii="仿宋" w:hAnsi="仿宋" w:eastAsia="仿宋" w:cs="仿宋"/>
          <w:sz w:val="24"/>
          <w:szCs w:val="24"/>
          <w:u w:val="none"/>
          <w:lang w:val="en-US" w:eastAsia="zh-CN"/>
        </w:rPr>
        <w:t>12</w:t>
      </w:r>
      <w:r>
        <w:rPr>
          <w:rFonts w:hint="eastAsia" w:ascii="仿宋" w:hAnsi="仿宋" w:eastAsia="仿宋" w:cs="仿宋"/>
          <w:sz w:val="24"/>
          <w:szCs w:val="24"/>
        </w:rPr>
        <w:t>日</w:t>
      </w:r>
      <w:r>
        <w:rPr>
          <w:rFonts w:hint="eastAsia" w:ascii="仿宋" w:hAnsi="仿宋" w:eastAsia="仿宋" w:cs="仿宋"/>
          <w:sz w:val="24"/>
          <w:szCs w:val="24"/>
          <w:lang w:val="en-US" w:eastAsia="zh-CN"/>
        </w:rPr>
        <w:t>9时至</w:t>
      </w:r>
      <w:r>
        <w:rPr>
          <w:rFonts w:hint="eastAsia" w:ascii="仿宋" w:hAnsi="仿宋" w:eastAsia="仿宋" w:cs="仿宋"/>
          <w:sz w:val="24"/>
          <w:szCs w:val="24"/>
          <w:u w:val="none"/>
          <w:lang w:val="en-US" w:eastAsia="zh-CN"/>
        </w:rPr>
        <w:t>2024</w:t>
      </w:r>
      <w:r>
        <w:rPr>
          <w:rFonts w:hint="eastAsia" w:ascii="仿宋" w:hAnsi="仿宋" w:eastAsia="仿宋" w:cs="仿宋"/>
          <w:sz w:val="24"/>
          <w:szCs w:val="24"/>
        </w:rPr>
        <w:t>年</w:t>
      </w:r>
      <w:r>
        <w:rPr>
          <w:rFonts w:hint="eastAsia" w:ascii="仿宋" w:hAnsi="仿宋" w:eastAsia="仿宋" w:cs="仿宋"/>
          <w:sz w:val="24"/>
          <w:szCs w:val="24"/>
          <w:u w:val="none"/>
          <w:lang w:val="en-US" w:eastAsia="zh-CN"/>
        </w:rPr>
        <w:t>5</w:t>
      </w:r>
      <w:r>
        <w:rPr>
          <w:rFonts w:hint="eastAsia" w:ascii="仿宋" w:hAnsi="仿宋" w:eastAsia="仿宋" w:cs="仿宋"/>
          <w:sz w:val="24"/>
          <w:szCs w:val="24"/>
        </w:rPr>
        <w:t>月</w:t>
      </w:r>
      <w:r>
        <w:rPr>
          <w:rFonts w:hint="eastAsia" w:ascii="仿宋" w:hAnsi="仿宋" w:eastAsia="仿宋" w:cs="仿宋"/>
          <w:sz w:val="24"/>
          <w:szCs w:val="24"/>
          <w:u w:val="none"/>
          <w:lang w:val="en-US" w:eastAsia="zh-CN"/>
        </w:rPr>
        <w:t>13</w:t>
      </w:r>
      <w:r>
        <w:rPr>
          <w:rFonts w:hint="eastAsia" w:ascii="仿宋" w:hAnsi="仿宋" w:eastAsia="仿宋" w:cs="仿宋"/>
          <w:sz w:val="24"/>
          <w:szCs w:val="24"/>
        </w:rPr>
        <w:t>日</w:t>
      </w:r>
      <w:r>
        <w:rPr>
          <w:rFonts w:hint="eastAsia" w:ascii="仿宋" w:hAnsi="仿宋" w:eastAsia="仿宋" w:cs="仿宋"/>
          <w:sz w:val="24"/>
          <w:szCs w:val="24"/>
          <w:lang w:val="en-US" w:eastAsia="zh-CN"/>
        </w:rPr>
        <w:t>12时</w:t>
      </w:r>
      <w:r>
        <w:rPr>
          <w:rFonts w:hint="eastAsia" w:ascii="仿宋" w:hAnsi="仿宋" w:eastAsia="仿宋" w:cs="仿宋"/>
          <w:sz w:val="24"/>
          <w:szCs w:val="24"/>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谈判</w:t>
      </w:r>
      <w:r>
        <w:rPr>
          <w:rFonts w:hint="eastAsia" w:ascii="仿宋" w:hAnsi="仿宋" w:eastAsia="仿宋" w:cs="仿宋"/>
          <w:sz w:val="24"/>
          <w:szCs w:val="24"/>
        </w:rPr>
        <w:t>文件发售时间：</w:t>
      </w:r>
      <w:r>
        <w:rPr>
          <w:rFonts w:hint="eastAsia" w:ascii="仿宋" w:hAnsi="仿宋" w:eastAsia="仿宋" w:cs="仿宋"/>
          <w:sz w:val="24"/>
          <w:szCs w:val="24"/>
          <w:u w:val="none"/>
          <w:lang w:val="en-US" w:eastAsia="zh-CN"/>
        </w:rPr>
        <w:t>2024</w:t>
      </w:r>
      <w:r>
        <w:rPr>
          <w:rFonts w:hint="eastAsia" w:ascii="仿宋" w:hAnsi="仿宋" w:eastAsia="仿宋" w:cs="仿宋"/>
          <w:sz w:val="24"/>
          <w:szCs w:val="24"/>
        </w:rPr>
        <w:t>年</w:t>
      </w:r>
      <w:r>
        <w:rPr>
          <w:rFonts w:hint="eastAsia" w:ascii="仿宋" w:hAnsi="仿宋" w:eastAsia="仿宋" w:cs="仿宋"/>
          <w:sz w:val="24"/>
          <w:szCs w:val="24"/>
          <w:u w:val="none"/>
          <w:lang w:val="en-US" w:eastAsia="zh-CN"/>
        </w:rPr>
        <w:t>5</w:t>
      </w:r>
      <w:r>
        <w:rPr>
          <w:rFonts w:hint="eastAsia" w:ascii="仿宋" w:hAnsi="仿宋" w:eastAsia="仿宋" w:cs="仿宋"/>
          <w:sz w:val="24"/>
          <w:szCs w:val="24"/>
        </w:rPr>
        <w:t>月</w:t>
      </w:r>
      <w:r>
        <w:rPr>
          <w:rFonts w:hint="eastAsia" w:ascii="仿宋" w:hAnsi="仿宋" w:eastAsia="仿宋" w:cs="仿宋"/>
          <w:sz w:val="24"/>
          <w:szCs w:val="24"/>
          <w:u w:val="none"/>
          <w:lang w:val="en-US" w:eastAsia="zh-CN"/>
        </w:rPr>
        <w:t>15</w:t>
      </w:r>
      <w:r>
        <w:rPr>
          <w:rFonts w:hint="eastAsia" w:ascii="仿宋" w:hAnsi="仿宋" w:eastAsia="仿宋" w:cs="仿宋"/>
          <w:sz w:val="24"/>
          <w:szCs w:val="24"/>
        </w:rPr>
        <w:t>日</w:t>
      </w:r>
      <w:r>
        <w:rPr>
          <w:rFonts w:hint="eastAsia" w:ascii="仿宋" w:hAnsi="仿宋" w:eastAsia="仿宋" w:cs="仿宋"/>
          <w:sz w:val="24"/>
          <w:szCs w:val="24"/>
          <w:lang w:val="en-US" w:eastAsia="zh-CN"/>
        </w:rPr>
        <w:t>0时</w:t>
      </w:r>
      <w:r>
        <w:rPr>
          <w:rFonts w:hint="eastAsia" w:ascii="仿宋" w:hAnsi="仿宋" w:eastAsia="仿宋" w:cs="仿宋"/>
          <w:sz w:val="24"/>
          <w:szCs w:val="24"/>
        </w:rPr>
        <w:t>至</w:t>
      </w:r>
      <w:r>
        <w:rPr>
          <w:rFonts w:hint="eastAsia" w:ascii="仿宋" w:hAnsi="仿宋" w:eastAsia="仿宋" w:cs="仿宋"/>
          <w:sz w:val="24"/>
          <w:szCs w:val="24"/>
          <w:u w:val="none"/>
          <w:lang w:val="en-US" w:eastAsia="zh-CN"/>
        </w:rPr>
        <w:t>2024</w:t>
      </w:r>
      <w:r>
        <w:rPr>
          <w:rFonts w:hint="eastAsia" w:ascii="仿宋" w:hAnsi="仿宋" w:eastAsia="仿宋" w:cs="仿宋"/>
          <w:sz w:val="24"/>
          <w:szCs w:val="24"/>
        </w:rPr>
        <w:t>年</w:t>
      </w:r>
      <w:r>
        <w:rPr>
          <w:rFonts w:hint="eastAsia" w:ascii="仿宋" w:hAnsi="仿宋" w:eastAsia="仿宋" w:cs="仿宋"/>
          <w:sz w:val="24"/>
          <w:szCs w:val="24"/>
          <w:u w:val="none"/>
          <w:lang w:val="en-US" w:eastAsia="zh-CN"/>
        </w:rPr>
        <w:t>5</w:t>
      </w:r>
      <w:r>
        <w:rPr>
          <w:rFonts w:hint="eastAsia" w:ascii="仿宋" w:hAnsi="仿宋" w:eastAsia="仿宋" w:cs="仿宋"/>
          <w:sz w:val="24"/>
          <w:szCs w:val="24"/>
        </w:rPr>
        <w:t>月</w:t>
      </w:r>
      <w:r>
        <w:rPr>
          <w:rFonts w:hint="eastAsia" w:ascii="仿宋" w:hAnsi="仿宋" w:eastAsia="仿宋" w:cs="仿宋"/>
          <w:sz w:val="24"/>
          <w:szCs w:val="24"/>
          <w:u w:val="none"/>
          <w:lang w:val="en-US" w:eastAsia="zh-CN"/>
        </w:rPr>
        <w:t>17</w:t>
      </w:r>
      <w:r>
        <w:rPr>
          <w:rFonts w:hint="eastAsia" w:ascii="仿宋" w:hAnsi="仿宋" w:eastAsia="仿宋" w:cs="仿宋"/>
          <w:sz w:val="24"/>
          <w:szCs w:val="24"/>
        </w:rPr>
        <w:t>日</w:t>
      </w:r>
      <w:r>
        <w:rPr>
          <w:rFonts w:hint="eastAsia" w:ascii="仿宋" w:hAnsi="仿宋" w:eastAsia="仿宋" w:cs="仿宋"/>
          <w:sz w:val="24"/>
          <w:szCs w:val="24"/>
          <w:lang w:val="en-US" w:eastAsia="zh-CN"/>
        </w:rPr>
        <w:t>24时</w:t>
      </w:r>
      <w:r>
        <w:rPr>
          <w:rFonts w:hint="eastAsia" w:ascii="仿宋" w:hAnsi="仿宋" w:eastAsia="仿宋" w:cs="仿宋"/>
          <w:sz w:val="24"/>
          <w:szCs w:val="24"/>
          <w:lang w:eastAsia="zh-CN"/>
        </w:rPr>
        <w:t>；</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4、谈判</w:t>
      </w:r>
      <w:r>
        <w:rPr>
          <w:rFonts w:hint="eastAsia" w:ascii="仿宋" w:hAnsi="仿宋" w:eastAsia="仿宋" w:cs="仿宋"/>
          <w:sz w:val="24"/>
          <w:szCs w:val="24"/>
        </w:rPr>
        <w:t>文件每套售价：人民币</w:t>
      </w:r>
      <w:r>
        <w:rPr>
          <w:rFonts w:hint="eastAsia" w:ascii="仿宋" w:hAnsi="仿宋" w:eastAsia="仿宋" w:cs="仿宋"/>
          <w:sz w:val="24"/>
          <w:szCs w:val="24"/>
          <w:u w:val="none"/>
          <w:lang w:val="en-US" w:eastAsia="zh-CN"/>
        </w:rPr>
        <w:t>500</w:t>
      </w:r>
      <w:r>
        <w:rPr>
          <w:rFonts w:hint="eastAsia" w:ascii="仿宋" w:hAnsi="仿宋" w:eastAsia="仿宋" w:cs="仿宋"/>
          <w:sz w:val="24"/>
          <w:szCs w:val="24"/>
        </w:rPr>
        <w:t>元，售后不退（汇款后将回执扫描后发联系人邮箱主题栏里写清楚项目名称）；</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具体打款信息如下：</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开户银行：兴业银行呼和浩特巨海城支行</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收款单位：内蒙古华晟工程项目管理有限公司和林格尔盛乐园区分公司</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开户银行账号：592120100100098732</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开户银行行号：309191002120</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开标</w:t>
      </w:r>
      <w:r>
        <w:rPr>
          <w:rFonts w:hint="eastAsia" w:ascii="仿宋" w:hAnsi="仿宋" w:eastAsia="仿宋" w:cs="仿宋"/>
          <w:sz w:val="24"/>
          <w:szCs w:val="24"/>
        </w:rPr>
        <w:t>时间：</w:t>
      </w:r>
      <w:r>
        <w:rPr>
          <w:rFonts w:hint="eastAsia" w:ascii="仿宋" w:hAnsi="仿宋" w:eastAsia="仿宋" w:cs="仿宋"/>
          <w:sz w:val="24"/>
          <w:szCs w:val="24"/>
          <w:u w:val="none"/>
          <w:lang w:val="en-US" w:eastAsia="zh-CN"/>
        </w:rPr>
        <w:t>2024</w:t>
      </w:r>
      <w:r>
        <w:rPr>
          <w:rFonts w:hint="eastAsia" w:ascii="仿宋" w:hAnsi="仿宋" w:eastAsia="仿宋" w:cs="仿宋"/>
          <w:sz w:val="24"/>
          <w:szCs w:val="24"/>
        </w:rPr>
        <w:t>年</w:t>
      </w:r>
      <w:r>
        <w:rPr>
          <w:rFonts w:hint="eastAsia" w:ascii="仿宋" w:hAnsi="仿宋" w:eastAsia="仿宋" w:cs="仿宋"/>
          <w:sz w:val="24"/>
          <w:szCs w:val="24"/>
          <w:u w:val="none"/>
          <w:lang w:val="en-US" w:eastAsia="zh-CN"/>
        </w:rPr>
        <w:t>5</w:t>
      </w:r>
      <w:r>
        <w:rPr>
          <w:rFonts w:hint="eastAsia" w:ascii="仿宋" w:hAnsi="仿宋" w:eastAsia="仿宋" w:cs="仿宋"/>
          <w:sz w:val="24"/>
          <w:szCs w:val="24"/>
        </w:rPr>
        <w:t>月</w:t>
      </w:r>
      <w:r>
        <w:rPr>
          <w:rFonts w:hint="eastAsia" w:ascii="仿宋" w:hAnsi="仿宋" w:eastAsia="仿宋" w:cs="仿宋"/>
          <w:sz w:val="24"/>
          <w:szCs w:val="24"/>
          <w:u w:val="none"/>
          <w:lang w:val="en-US" w:eastAsia="zh-CN"/>
        </w:rPr>
        <w:t>23</w:t>
      </w:r>
      <w:r>
        <w:rPr>
          <w:rFonts w:hint="eastAsia" w:ascii="仿宋" w:hAnsi="仿宋" w:eastAsia="仿宋" w:cs="仿宋"/>
          <w:sz w:val="24"/>
          <w:szCs w:val="24"/>
        </w:rPr>
        <w:t>日</w:t>
      </w:r>
      <w:r>
        <w:rPr>
          <w:rFonts w:hint="eastAsia" w:ascii="仿宋" w:hAnsi="仿宋" w:eastAsia="仿宋" w:cs="仿宋"/>
          <w:sz w:val="24"/>
          <w:szCs w:val="24"/>
          <w:u w:val="none"/>
          <w:lang w:val="en-US" w:eastAsia="zh-CN"/>
        </w:rPr>
        <w:t>9</w:t>
      </w:r>
      <w:r>
        <w:rPr>
          <w:rFonts w:hint="eastAsia" w:ascii="仿宋" w:hAnsi="仿宋" w:eastAsia="仿宋" w:cs="仿宋"/>
          <w:sz w:val="24"/>
          <w:szCs w:val="24"/>
        </w:rPr>
        <w:t>时</w:t>
      </w:r>
      <w:r>
        <w:rPr>
          <w:rFonts w:hint="eastAsia" w:ascii="仿宋" w:hAnsi="仿宋" w:eastAsia="仿宋" w:cs="仿宋"/>
          <w:sz w:val="24"/>
          <w:szCs w:val="24"/>
          <w:lang w:val="en-US" w:eastAsia="zh-CN"/>
        </w:rPr>
        <w:t>30分</w:t>
      </w:r>
      <w:r>
        <w:rPr>
          <w:rFonts w:hint="eastAsia" w:ascii="仿宋" w:hAnsi="仿宋" w:eastAsia="仿宋" w:cs="仿宋"/>
          <w:sz w:val="24"/>
          <w:szCs w:val="24"/>
        </w:rPr>
        <w:t>（以发出的</w:t>
      </w:r>
      <w:r>
        <w:rPr>
          <w:rFonts w:hint="eastAsia" w:ascii="仿宋" w:hAnsi="仿宋" w:eastAsia="仿宋" w:cs="仿宋"/>
          <w:sz w:val="24"/>
          <w:szCs w:val="24"/>
          <w:lang w:val="en-US" w:eastAsia="zh-CN"/>
        </w:rPr>
        <w:t>招标</w:t>
      </w:r>
      <w:r>
        <w:rPr>
          <w:rFonts w:hint="eastAsia" w:ascii="仿宋" w:hAnsi="仿宋" w:eastAsia="仿宋" w:cs="仿宋"/>
          <w:sz w:val="24"/>
          <w:szCs w:val="24"/>
        </w:rPr>
        <w:t>文件为准）；</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b/>
          <w:sz w:val="24"/>
          <w:szCs w:val="24"/>
        </w:rPr>
        <w:t>七、</w:t>
      </w:r>
      <w:r>
        <w:rPr>
          <w:rFonts w:hint="eastAsia" w:ascii="仿宋" w:hAnsi="仿宋" w:eastAsia="仿宋" w:cs="仿宋"/>
          <w:b/>
          <w:sz w:val="24"/>
          <w:szCs w:val="24"/>
          <w:lang w:val="en-US" w:eastAsia="zh-CN"/>
        </w:rPr>
        <w:t>开标地址</w:t>
      </w:r>
      <w:r>
        <w:rPr>
          <w:rFonts w:hint="eastAsia" w:ascii="仿宋" w:hAnsi="仿宋" w:eastAsia="仿宋" w:cs="仿宋"/>
          <w:b/>
          <w:sz w:val="24"/>
          <w:szCs w:val="24"/>
        </w:rPr>
        <w:t>：</w:t>
      </w:r>
      <w:r>
        <w:rPr>
          <w:rFonts w:hint="eastAsia" w:ascii="仿宋" w:hAnsi="仿宋" w:eastAsia="仿宋" w:cs="仿宋"/>
          <w:color w:val="000000"/>
          <w:sz w:val="24"/>
          <w:szCs w:val="24"/>
          <w:lang w:val="en-US" w:eastAsia="zh-CN"/>
        </w:rPr>
        <w:t>蒙牛集团电子采购招标平台（https://zbcg.mengniu.cn/）</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FF0000"/>
          <w:sz w:val="24"/>
          <w:szCs w:val="24"/>
        </w:rPr>
      </w:pPr>
      <w:r>
        <w:rPr>
          <w:rFonts w:hint="eastAsia" w:ascii="仿宋" w:hAnsi="仿宋" w:eastAsia="仿宋" w:cs="仿宋"/>
          <w:b/>
          <w:color w:val="000000"/>
          <w:sz w:val="24"/>
          <w:szCs w:val="24"/>
        </w:rPr>
        <w:t>八、发布媒体：</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中国采购与招标网（http://www.chinabidding.com.cn）</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蒙牛官网（http://www.mengniu.com.cn）及蒙牛内部平台</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中国招标投标公共服务平台（http://www.cebpubservice.com/）</w:t>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蒙牛集团电子招标采购交易平台（</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"https://……）"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https://zbcg.mengniu.cn）</w:t>
      </w:r>
      <w:r>
        <w:rPr>
          <w:rFonts w:hint="eastAsia" w:ascii="仿宋" w:hAnsi="仿宋" w:eastAsia="仿宋" w:cs="仿宋"/>
          <w:color w:val="000000"/>
          <w:sz w:val="24"/>
          <w:szCs w:val="24"/>
        </w:rPr>
        <w:fldChar w:fldCharType="end"/>
      </w:r>
    </w:p>
    <w:p>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此公告只在以上平台发布，其他任何媒体转载无效。</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九、采购招标实施方及联系方式：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采购方：内蒙古蒙牛乳业（集团）股份有限公司</w:t>
      </w:r>
    </w:p>
    <w:p>
      <w:pPr>
        <w:pStyle w:val="11"/>
        <w:keepNext w:val="0"/>
        <w:keepLines w:val="0"/>
        <w:widowControl/>
        <w:suppressLineNumbers w:val="0"/>
        <w:spacing w:before="0" w:beforeAutospacing="0" w:after="0" w:afterAutospacing="0" w:line="360" w:lineRule="auto"/>
        <w:ind w:left="0" w:firstLine="480"/>
        <w:jc w:val="left"/>
      </w:pPr>
      <w:r>
        <w:rPr>
          <w:rFonts w:ascii="仿宋" w:hAnsi="仿宋" w:eastAsia="仿宋" w:cs="仿宋"/>
          <w:sz w:val="24"/>
          <w:szCs w:val="24"/>
        </w:rPr>
        <w:t>业务咨询联系人：张嘉馨                  </w:t>
      </w:r>
    </w:p>
    <w:p>
      <w:pPr>
        <w:pStyle w:val="11"/>
        <w:keepNext w:val="0"/>
        <w:keepLines w:val="0"/>
        <w:widowControl/>
        <w:suppressLineNumbers w:val="0"/>
        <w:spacing w:before="0" w:beforeAutospacing="0" w:after="0" w:afterAutospacing="0" w:line="360" w:lineRule="auto"/>
        <w:ind w:left="0" w:firstLine="480"/>
        <w:jc w:val="left"/>
      </w:pPr>
      <w:r>
        <w:rPr>
          <w:rFonts w:hint="eastAsia" w:ascii="仿宋" w:hAnsi="仿宋" w:eastAsia="仿宋" w:cs="仿宋"/>
          <w:sz w:val="24"/>
          <w:szCs w:val="24"/>
        </w:rPr>
        <w:t>联系方式：15148996062</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十</w:t>
      </w:r>
      <w:r>
        <w:rPr>
          <w:rFonts w:hint="eastAsia" w:ascii="仿宋" w:hAnsi="仿宋" w:eastAsia="仿宋" w:cs="仿宋"/>
          <w:b/>
          <w:sz w:val="24"/>
          <w:szCs w:val="24"/>
        </w:rPr>
        <w:t>、代理机构及联系方式：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招标代理机构：内蒙古华晟工程项目管理有限公司</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报名联系人：赵慧峰：18647138769  </w:t>
      </w:r>
      <w:r>
        <w:rPr>
          <w:rFonts w:hint="eastAsia" w:ascii="仿宋" w:hAnsi="仿宋" w:eastAsia="仿宋" w:cs="仿宋"/>
          <w:sz w:val="24"/>
          <w:szCs w:val="24"/>
          <w:lang w:val="en-US" w:eastAsia="zh-CN"/>
        </w:rPr>
        <w:t>丁桠楠</w:t>
      </w:r>
      <w:r>
        <w:rPr>
          <w:rFonts w:hint="eastAsia" w:ascii="仿宋" w:hAnsi="仿宋" w:eastAsia="仿宋" w:cs="仿宋"/>
          <w:sz w:val="24"/>
          <w:szCs w:val="24"/>
        </w:rPr>
        <w:t>：13</w:t>
      </w:r>
      <w:r>
        <w:rPr>
          <w:rFonts w:hint="eastAsia" w:ascii="仿宋" w:hAnsi="仿宋" w:eastAsia="仿宋" w:cs="仿宋"/>
          <w:sz w:val="24"/>
          <w:szCs w:val="24"/>
          <w:lang w:val="en-US" w:eastAsia="zh-CN"/>
        </w:rPr>
        <w:t>8</w:t>
      </w:r>
      <w:r>
        <w:rPr>
          <w:rFonts w:hint="eastAsia" w:ascii="仿宋" w:hAnsi="仿宋" w:eastAsia="仿宋" w:cs="仿宋"/>
          <w:sz w:val="24"/>
          <w:szCs w:val="24"/>
        </w:rPr>
        <w:t>47</w:t>
      </w:r>
      <w:r>
        <w:rPr>
          <w:rFonts w:hint="eastAsia" w:ascii="仿宋" w:hAnsi="仿宋" w:eastAsia="仿宋" w:cs="仿宋"/>
          <w:sz w:val="24"/>
          <w:szCs w:val="24"/>
          <w:lang w:val="en-US" w:eastAsia="zh-CN"/>
        </w:rPr>
        <w:t>197935、王子刚</w:t>
      </w:r>
    </w:p>
    <w:p>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联系电话：0471-3957849/4918085分机号80</w:t>
      </w:r>
      <w:r>
        <w:rPr>
          <w:rFonts w:hint="eastAsia" w:ascii="仿宋" w:hAnsi="仿宋" w:eastAsia="仿宋" w:cs="仿宋"/>
          <w:sz w:val="24"/>
          <w:szCs w:val="24"/>
          <w:lang w:val="en-US" w:eastAsia="zh-CN"/>
        </w:rPr>
        <w:t>00</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电子邮箱：zhaohuifeng@nmghuasheng.com</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联系地址：内蒙古呼和浩特市赛罕区锡林南路盈嘉国际综合楼27层</w:t>
      </w:r>
    </w:p>
    <w:p>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监督单位：内蒙古蒙牛乳业（集团）股份有限公司招投标管理部</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 督 人:</w:t>
      </w:r>
      <w:r>
        <w:rPr>
          <w:rFonts w:hint="eastAsia" w:ascii="仿宋" w:hAnsi="仿宋" w:eastAsia="仿宋" w:cs="仿宋"/>
          <w:sz w:val="24"/>
          <w:szCs w:val="24"/>
          <w:lang w:val="en-US" w:eastAsia="zh-CN"/>
        </w:rPr>
        <w:t>郑建东</w:t>
      </w:r>
      <w:r>
        <w:rPr>
          <w:rFonts w:hint="eastAsia" w:ascii="仿宋" w:hAnsi="仿宋" w:eastAsia="仿宋" w:cs="仿宋"/>
          <w:sz w:val="24"/>
          <w:szCs w:val="24"/>
        </w:rPr>
        <w:t xml:space="preserve">                        </w:t>
      </w:r>
    </w:p>
    <w:p>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eastAsia="zh-CN"/>
        </w:rPr>
        <w:t>：</w:t>
      </w:r>
      <w:r>
        <w:rPr>
          <w:rFonts w:hint="eastAsia" w:ascii="仿宋" w:hAnsi="仿宋" w:eastAsia="仿宋" w:cs="仿宋"/>
          <w:sz w:val="24"/>
          <w:szCs w:val="24"/>
        </w:rPr>
        <w:t>0471-7393642</w:t>
      </w:r>
      <w:r>
        <w:rPr>
          <w:rFonts w:hint="eastAsia" w:ascii="仿宋" w:hAnsi="仿宋" w:eastAsia="仿宋" w:cs="仿宋"/>
          <w:sz w:val="24"/>
          <w:szCs w:val="24"/>
          <w:lang w:val="en-US" w:eastAsia="zh-CN"/>
        </w:rPr>
        <w:t>/</w:t>
      </w:r>
      <w:r>
        <w:rPr>
          <w:rFonts w:hint="eastAsia" w:ascii="仿宋" w:hAnsi="仿宋" w:eastAsia="仿宋" w:cs="仿宋"/>
          <w:sz w:val="24"/>
          <w:szCs w:val="24"/>
        </w:rPr>
        <w:t>150</w:t>
      </w:r>
      <w:r>
        <w:rPr>
          <w:rFonts w:hint="eastAsia" w:ascii="仿宋" w:hAnsi="仿宋" w:eastAsia="仿宋" w:cs="仿宋"/>
          <w:sz w:val="24"/>
          <w:szCs w:val="24"/>
          <w:lang w:val="en-US" w:eastAsia="zh-CN"/>
        </w:rPr>
        <w:t>34927966</w:t>
      </w:r>
    </w:p>
    <w:p>
      <w:pPr>
        <w:pStyle w:val="16"/>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电子邮件：</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"mailto:xuehaiyan@mengniu.cn" </w:instrText>
      </w:r>
      <w:r>
        <w:rPr>
          <w:rFonts w:hint="eastAsia" w:ascii="仿宋" w:hAnsi="仿宋" w:eastAsia="仿宋" w:cs="仿宋"/>
          <w:sz w:val="24"/>
          <w:szCs w:val="24"/>
          <w:lang w:val="en-US" w:eastAsia="zh-CN"/>
        </w:rPr>
        <w:fldChar w:fldCharType="separate"/>
      </w:r>
      <w:r>
        <w:rPr>
          <w:rStyle w:val="15"/>
          <w:rFonts w:hint="eastAsia" w:ascii="仿宋" w:hAnsi="仿宋" w:eastAsia="仿宋" w:cs="仿宋"/>
          <w:sz w:val="24"/>
          <w:szCs w:val="24"/>
          <w:lang w:val="en-US" w:eastAsia="zh-CN"/>
        </w:rPr>
        <w:t>zhengjiandong</w:t>
      </w:r>
      <w:bookmarkStart w:id="1" w:name="_GoBack"/>
      <w:bookmarkEnd w:id="1"/>
      <w:r>
        <w:rPr>
          <w:rStyle w:val="15"/>
          <w:rFonts w:hint="eastAsia" w:ascii="仿宋" w:hAnsi="仿宋" w:eastAsia="仿宋" w:cs="仿宋"/>
          <w:sz w:val="24"/>
          <w:szCs w:val="24"/>
          <w:lang w:val="en-US" w:eastAsia="zh-CN"/>
        </w:rPr>
        <w:t>@mengniu.cn</w:t>
      </w:r>
      <w:r>
        <w:rPr>
          <w:rFonts w:hint="eastAsia" w:ascii="仿宋" w:hAnsi="仿宋" w:eastAsia="仿宋" w:cs="仿宋"/>
          <w:sz w:val="24"/>
          <w:szCs w:val="24"/>
          <w:lang w:val="en-US" w:eastAsia="zh-CN"/>
        </w:rPr>
        <w:fldChar w:fldCharType="end"/>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pPr>
        <w:pStyle w:val="16"/>
        <w:spacing w:line="360" w:lineRule="auto"/>
        <w:ind w:firstLine="480" w:firstLineChars="200"/>
        <w:rPr>
          <w:rFonts w:hint="eastAsia" w:ascii="仿宋" w:hAnsi="仿宋" w:eastAsia="仿宋" w:cs="仿宋"/>
          <w:sz w:val="24"/>
          <w:szCs w:val="24"/>
          <w:lang w:val="en-US" w:eastAsia="zh-CN"/>
        </w:rPr>
      </w:pPr>
    </w:p>
    <w:p>
      <w:pPr>
        <w:pStyle w:val="20"/>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sz w:val="24"/>
          <w:szCs w:val="24"/>
        </w:rPr>
        <w:t>附件：</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保密</w:t>
      </w:r>
      <w:r>
        <w:rPr>
          <w:rFonts w:hint="eastAsia" w:ascii="仿宋" w:hAnsi="仿宋" w:eastAsia="仿宋" w:cs="仿宋"/>
          <w:color w:val="000000"/>
          <w:sz w:val="24"/>
          <w:szCs w:val="24"/>
          <w:lang w:val="en-US" w:eastAsia="zh-CN"/>
        </w:rPr>
        <w:t>承诺书</w:t>
      </w:r>
    </w:p>
    <w:p>
      <w:pPr>
        <w:pStyle w:val="16"/>
        <w:keepNext w:val="0"/>
        <w:keepLines w:val="0"/>
        <w:pageBreakBefore w:val="0"/>
        <w:kinsoku/>
        <w:overflowPunct/>
        <w:topLinePunct w:val="0"/>
        <w:bidi w:val="0"/>
        <w:spacing w:line="360" w:lineRule="auto"/>
        <w:ind w:left="0" w:leftChars="0" w:firstLine="480" w:firstLineChars="200"/>
        <w:jc w:val="left"/>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 xml:space="preserve">    2.安全生产承诺书</w:t>
      </w:r>
    </w:p>
    <w:p>
      <w:pPr>
        <w:keepNext w:val="0"/>
        <w:keepLines w:val="0"/>
        <w:pageBreakBefore w:val="0"/>
        <w:widowControl w:val="0"/>
        <w:numPr>
          <w:ilvl w:val="0"/>
          <w:numId w:val="0"/>
        </w:numPr>
        <w:kinsoku/>
        <w:wordWrap/>
        <w:overflowPunct/>
        <w:topLinePunct w:val="0"/>
        <w:bidi w:val="0"/>
        <w:spacing w:line="360" w:lineRule="auto"/>
        <w:ind w:left="0" w:leftChars="0" w:right="0" w:rightChars="0" w:firstLine="960" w:firstLineChars="4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3.MN_SRM_用户操作手册_供应商管理 V1.1 - 供应商注册及信息修改操作指南</w:t>
      </w:r>
    </w:p>
    <w:p>
      <w:pPr>
        <w:keepNext w:val="0"/>
        <w:keepLines w:val="0"/>
        <w:pageBreakBefore w:val="0"/>
        <w:widowControl w:val="0"/>
        <w:numPr>
          <w:ilvl w:val="0"/>
          <w:numId w:val="0"/>
        </w:numPr>
        <w:kinsoku/>
        <w:wordWrap/>
        <w:overflowPunct/>
        <w:topLinePunct w:val="0"/>
        <w:bidi w:val="0"/>
        <w:spacing w:line="360" w:lineRule="auto"/>
        <w:ind w:left="0" w:leftChars="0" w:right="0" w:rightChars="0" w:firstLine="960" w:firstLineChars="400"/>
        <w:jc w:val="lef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CN"/>
        </w:rPr>
        <w:t>4.供应商入库-登录-参与项目-报名等流程说明</w:t>
      </w:r>
    </w:p>
    <w:p>
      <w:pPr>
        <w:keepNext w:val="0"/>
        <w:keepLines w:val="0"/>
        <w:pageBreakBefore w:val="0"/>
        <w:widowControl w:val="0"/>
        <w:numPr>
          <w:ilvl w:val="0"/>
          <w:numId w:val="0"/>
        </w:numPr>
        <w:kinsoku/>
        <w:wordWrap/>
        <w:overflowPunct/>
        <w:bidi w:val="0"/>
        <w:spacing w:line="360" w:lineRule="auto"/>
        <w:ind w:right="0" w:rightChars="0" w:firstLine="720" w:firstLineChars="300"/>
        <w:textAlignment w:val="auto"/>
        <w:rPr>
          <w:rFonts w:hint="eastAsia" w:ascii="仿宋" w:hAnsi="仿宋" w:eastAsia="仿宋" w:cs="仿宋"/>
          <w:color w:val="000000"/>
          <w:sz w:val="24"/>
          <w:szCs w:val="24"/>
        </w:rPr>
      </w:pPr>
    </w:p>
    <w:p>
      <w:pPr>
        <w:pStyle w:val="20"/>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rPr>
      </w:pPr>
    </w:p>
    <w:p>
      <w:pPr>
        <w:pStyle w:val="20"/>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内蒙古华晟工程项目管理有限公司</w:t>
      </w:r>
    </w:p>
    <w:p>
      <w:pPr>
        <w:pStyle w:val="20"/>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kinsoku/>
        <w:wordWrap/>
        <w:overflowPunct/>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附件1：</w:t>
      </w:r>
    </w:p>
    <w:p>
      <w:pPr>
        <w:keepNext w:val="0"/>
        <w:keepLines w:val="0"/>
        <w:pageBreakBefore w:val="0"/>
        <w:widowControl w:val="0"/>
        <w:kinsoku/>
        <w:wordWrap/>
        <w:overflowPunct/>
        <w:bidi w:val="0"/>
        <w:spacing w:line="360" w:lineRule="auto"/>
        <w:ind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保密承诺书</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甲方：内蒙古蒙牛乳业(集团)股份有限公司</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地址：</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乙方（承诺方）：</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地址：</w:t>
      </w:r>
    </w:p>
    <w:p>
      <w:pPr>
        <w:keepNext w:val="0"/>
        <w:keepLines w:val="0"/>
        <w:pageBreakBefore w:val="0"/>
        <w:widowControl/>
        <w:shd w:val="clear" w:color="auto" w:fill="FFFFFF"/>
        <w:kinsoku/>
        <w:wordWrap/>
        <w:overflowPunct/>
        <w:autoSpaceDE/>
        <w:autoSpaceDN/>
        <w:bidi w:val="0"/>
        <w:snapToGrid w:val="0"/>
        <w:spacing w:line="360" w:lineRule="auto"/>
        <w:ind w:firstLine="480" w:firstLine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甲乙双方就</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一、定义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（一）由乙方以书面文件证明：该等信息已于披露之前已由乙方所持有；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（二）已公开发表或非因乙方作为或不作为的原因，已向公众披露；</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（三）已由甲方书面同意乙方公开；</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（四）由乙方在未使用该等机密信息的情形下独立开发；</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（五）乙方从第三方处合法、正当地取得，且该第三方对该等机密信息不承担保密义务。</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二、保密</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三、公开</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四、强制性披露</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五、返还资料</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u w:val="single"/>
          <w:lang w:val="en-US" w:eastAsia="zh-CN"/>
        </w:rPr>
        <w:t xml:space="preserve"> 5 </w:t>
      </w:r>
      <w:r>
        <w:rPr>
          <w:rFonts w:hint="eastAsia" w:ascii="仿宋" w:hAnsi="仿宋" w:eastAsia="仿宋" w:cs="仿宋"/>
          <w:color w:val="000000"/>
          <w:sz w:val="24"/>
          <w:szCs w:val="24"/>
          <w:lang w:val="en-US" w:eastAsia="zh-CN"/>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六、非授权许可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七、义务限定</w:t>
      </w:r>
    </w:p>
    <w:p>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八、信息准确性</w:t>
      </w:r>
    </w:p>
    <w:p>
      <w:pPr>
        <w:keepNext w:val="0"/>
        <w:keepLines w:val="0"/>
        <w:pageBreakBefore w:val="0"/>
        <w:widowControl w:val="0"/>
        <w:kinsoku/>
        <w:wordWrap/>
        <w:overflowPunct/>
        <w:bidi w:val="0"/>
        <w:spacing w:line="360" w:lineRule="auto"/>
        <w:ind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九、期限</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本承诺书中乙方之保密义务应自乙方收到机密信息之日起</w:t>
      </w:r>
      <w:r>
        <w:rPr>
          <w:rFonts w:hint="eastAsia" w:ascii="仿宋" w:hAnsi="仿宋" w:eastAsia="仿宋" w:cs="仿宋"/>
          <w:color w:val="000000"/>
          <w:sz w:val="24"/>
          <w:szCs w:val="24"/>
          <w:u w:val="single"/>
          <w:lang w:val="en-US" w:eastAsia="zh-CN"/>
        </w:rPr>
        <w:t xml:space="preserve"> 5 </w:t>
      </w:r>
      <w:r>
        <w:rPr>
          <w:rFonts w:hint="eastAsia" w:ascii="仿宋" w:hAnsi="仿宋" w:eastAsia="仿宋" w:cs="仿宋"/>
          <w:color w:val="000000"/>
          <w:sz w:val="24"/>
          <w:szCs w:val="24"/>
          <w:lang w:val="en-US" w:eastAsia="zh-CN"/>
        </w:rPr>
        <w:t>年内持续有效，且不因承诺书目的之达成而终止。</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十、补充条款</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（一）合规条款</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2、履约行为合规承诺：乙方承诺具有履行本承诺书约定的能力，且履行行为符合现行法律法规等规范性文件的要求。</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4、合规检查：乙方应积极配合甲方的合规检查，理解并接受甲方对乙方的合规管理要求，同意配合合规检查，并不得隐瞒任何可能对甲方利益造成影响的信息。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5、劳动用工: 乙方承诺不雇佣、使用童工，保障其员工的劳动合法权益，不纵容、支持、实施歧视、威胁员工的行为或发布相关言论。</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7、严格约束乙方员工及其代理人：乙方承诺严格遵守合规承诺条款，若乙方员工及乙方的代理人或代理机构违反相关承诺即视为乙方违反。</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10、责任承担：如果乙方违反前述合规承诺条款，甲方有权要求乙方承担因此而给甲方造成的全部损失。</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11、适用原则：本承诺书中合规条款对乙方的要求与承诺书中其他条款不一致的，以对乙方要求更高的条款为准。</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（二）环境保护</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（三）附件法律效力条款</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本着接受法律上之约束的意向，双方特此同意本承诺书全部附录、附件等均为本承诺书不可分割的部分，共同构成双方就达成的全部承诺书，与本承诺书具有同等法律效力。</w:t>
      </w:r>
    </w:p>
    <w:p>
      <w:pPr>
        <w:keepNext w:val="0"/>
        <w:keepLines w:val="0"/>
        <w:pageBreakBefore w:val="0"/>
        <w:widowControl w:val="0"/>
        <w:kinsoku/>
        <w:wordWrap/>
        <w:overflowPunct/>
        <w:bidi w:val="0"/>
        <w:spacing w:line="360" w:lineRule="auto"/>
        <w:ind w:left="0" w:leftChars="0" w:right="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十一、适用法律</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本承诺书适用中华人民共和国法律，因本承诺书引起或与本承诺书有关的任何争议，应由双方友好协商解决，协商不成的，双方同意选择第【二】种方式解决：</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（一）向呼和浩特仲裁委员会申请仲裁。因仲裁产生的包括但不限于仲裁费、律师费、调查费、差旅费等，由乙方承担。</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（二）向甲方所在地有管辖权的人民法院提起诉讼。因诉讼产生的包括但不限于诉讼费、律师费、调查费、差旅费等，由乙方承担。</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十二、违约责任及救济</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如果乙方违反本承诺书的任何规定情形,则甲方有权将乙方拉入蒙牛供应商黑名单，乙方应积极配合甲方在10个工作日内收回已经泄露的信息。</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十三、生效</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本承诺书经乙方签字盖章之日起生效。</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（以下无正文）                          </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乙方（承诺方）：</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代表人：</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日期：</w:t>
      </w:r>
    </w:p>
    <w:p>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lang w:val="en-US" w:eastAsia="zh-CN"/>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rPr>
      </w:pPr>
    </w:p>
    <w:p>
      <w:pPr>
        <w:pStyle w:val="5"/>
        <w:keepNext w:val="0"/>
        <w:keepLines w:val="0"/>
        <w:pageBreakBefore w:val="0"/>
        <w:widowControl w:val="0"/>
        <w:kinsoku/>
        <w:wordWrap/>
        <w:overflowPunct w:val="0"/>
        <w:topLinePunct w:val="0"/>
        <w:bidi w:val="0"/>
        <w:snapToGrid/>
        <w:spacing w:line="360" w:lineRule="auto"/>
        <w:ind w:left="0"/>
        <w:jc w:val="both"/>
        <w:textAlignment w:val="auto"/>
        <w:rPr>
          <w:rFonts w:hint="eastAsia" w:ascii="仿宋" w:hAnsi="仿宋" w:eastAsia="仿宋" w:cs="仿宋"/>
          <w:kern w:val="2"/>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kern w:val="0"/>
          <w:sz w:val="24"/>
          <w:szCs w:val="24"/>
          <w:lang w:val="en-US" w:eastAsia="zh-CN"/>
        </w:rPr>
      </w:pPr>
      <w:r>
        <w:rPr>
          <w:rFonts w:hint="eastAsia" w:ascii="仿宋" w:hAnsi="仿宋" w:eastAsia="仿宋" w:cs="仿宋"/>
          <w:sz w:val="24"/>
          <w:szCs w:val="24"/>
          <w:lang w:val="en-US" w:eastAsia="zh-CN"/>
        </w:rPr>
        <w:t>附件2：</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安全生产承诺书</w:t>
      </w:r>
    </w:p>
    <w:p>
      <w:pPr>
        <w:pStyle w:val="16"/>
        <w:keepNext w:val="0"/>
        <w:keepLines w:val="0"/>
        <w:pageBreakBefore w:val="0"/>
        <w:kinsoku/>
        <w:overflowPunct/>
        <w:topLinePunct w:val="0"/>
        <w:bidi w:val="0"/>
        <w:spacing w:line="360" w:lineRule="auto"/>
        <w:ind w:left="0" w:leftChars="0" w:firstLine="480" w:firstLineChars="200"/>
        <w:rPr>
          <w:rFonts w:hint="eastAsia"/>
          <w:sz w:val="24"/>
          <w:szCs w:val="24"/>
        </w:rPr>
      </w:pP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内蒙古蒙牛乳业（集团）股份有限公司</w:t>
      </w: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我公司郑重承诺：我公司在经营期间，</w:t>
      </w:r>
      <w:r>
        <w:rPr>
          <w:rFonts w:hint="eastAsia" w:ascii="仿宋" w:hAnsi="仿宋" w:eastAsia="仿宋" w:cs="仿宋"/>
          <w:sz w:val="24"/>
          <w:szCs w:val="24"/>
          <w:lang w:val="en-US" w:eastAsia="zh-CN"/>
        </w:rPr>
        <w:t>严格执行国家有关安全生产的各项法律法规及行业管理条例，认真贯彻落实各项安全生产管理制度，所提供的所有信息资料真实有效，近一年内，无安全生产失信行为和无被安全监督部门公开曝光的事件。</w:t>
      </w:r>
    </w:p>
    <w:p>
      <w:pPr>
        <w:pStyle w:val="16"/>
        <w:keepNext w:val="0"/>
        <w:keepLines w:val="0"/>
        <w:pageBreakBefore w:val="0"/>
        <w:kinsoku/>
        <w:overflowPunct/>
        <w:topLinePunct w:val="0"/>
        <w:bidi w:val="0"/>
        <w:spacing w:line="360" w:lineRule="auto"/>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如以上承诺经查不实，我公司愿意承担由此造成的一切后果。</w:t>
      </w: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lang w:val="en-US" w:eastAsia="zh-CN"/>
        </w:rPr>
      </w:pP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特此承诺！</w:t>
      </w: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lang w:val="en-US" w:eastAsia="zh-CN"/>
        </w:rPr>
      </w:pPr>
    </w:p>
    <w:p>
      <w:pPr>
        <w:pStyle w:val="16"/>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投标人：（加盖公章）</w:t>
      </w:r>
    </w:p>
    <w:p>
      <w:pPr>
        <w:pStyle w:val="16"/>
        <w:keepNext w:val="0"/>
        <w:keepLines w:val="0"/>
        <w:pageBreakBefore w:val="0"/>
        <w:kinsoku/>
        <w:overflowPunct/>
        <w:topLinePunct w:val="0"/>
        <w:bidi w:val="0"/>
        <w:spacing w:line="360" w:lineRule="auto"/>
        <w:ind w:left="0" w:leftChars="0" w:firstLine="480" w:firstLineChars="2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日   期：    年  月  日</w:t>
      </w:r>
    </w:p>
    <w:p>
      <w:pPr>
        <w:pStyle w:val="16"/>
        <w:spacing w:line="360" w:lineRule="auto"/>
        <w:rPr>
          <w:rFonts w:hint="eastAsia" w:ascii="仿宋" w:hAnsi="仿宋" w:eastAsia="仿宋" w:cs="仿宋"/>
          <w:color w:val="000000"/>
          <w:sz w:val="24"/>
          <w:szCs w:val="24"/>
          <w:lang w:val="en-US" w:eastAsia="zh-CN"/>
        </w:rPr>
      </w:pPr>
    </w:p>
    <w:p>
      <w:pPr>
        <w:pStyle w:val="4"/>
        <w:keepNext w:val="0"/>
        <w:keepLines w:val="0"/>
        <w:pageBreakBefore w:val="0"/>
        <w:widowControl w:val="0"/>
        <w:kinsoku/>
        <w:wordWrap/>
        <w:overflowPunct/>
        <w:topLinePunct/>
        <w:autoSpaceDE/>
        <w:autoSpaceDN/>
        <w:bidi w:val="0"/>
        <w:adjustRightInd w:val="0"/>
        <w:snapToGrid w:val="0"/>
        <w:spacing w:line="360" w:lineRule="auto"/>
        <w:ind w:right="0"/>
        <w:textAlignment w:val="auto"/>
        <w:rPr>
          <w:rFonts w:hint="eastAsia" w:ascii="仿宋" w:hAnsi="仿宋" w:eastAsia="仿宋" w:cs="仿宋"/>
          <w:sz w:val="24"/>
          <w:szCs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3CA2"/>
    <w:rsid w:val="00350D65"/>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4260"/>
    <w:rsid w:val="00D61436"/>
    <w:rsid w:val="00D830DF"/>
    <w:rsid w:val="00DB31B5"/>
    <w:rsid w:val="00E14B98"/>
    <w:rsid w:val="00E8505F"/>
    <w:rsid w:val="00ED18C7"/>
    <w:rsid w:val="00EF0E25"/>
    <w:rsid w:val="00F428E1"/>
    <w:rsid w:val="00F74DD0"/>
    <w:rsid w:val="00F95612"/>
    <w:rsid w:val="019A7543"/>
    <w:rsid w:val="025E6117"/>
    <w:rsid w:val="02FF4BC4"/>
    <w:rsid w:val="03B94246"/>
    <w:rsid w:val="06402C0B"/>
    <w:rsid w:val="07A34FF1"/>
    <w:rsid w:val="08337E2C"/>
    <w:rsid w:val="12483364"/>
    <w:rsid w:val="144D68B0"/>
    <w:rsid w:val="14DC4893"/>
    <w:rsid w:val="154D47EE"/>
    <w:rsid w:val="15B036FB"/>
    <w:rsid w:val="1A357E1A"/>
    <w:rsid w:val="1B0B43F3"/>
    <w:rsid w:val="1B0D514B"/>
    <w:rsid w:val="1CED3535"/>
    <w:rsid w:val="206A6B9C"/>
    <w:rsid w:val="20E013D0"/>
    <w:rsid w:val="242157C3"/>
    <w:rsid w:val="24F22597"/>
    <w:rsid w:val="255E46D4"/>
    <w:rsid w:val="26292F4C"/>
    <w:rsid w:val="262E286F"/>
    <w:rsid w:val="273B4842"/>
    <w:rsid w:val="27FE22A3"/>
    <w:rsid w:val="2BB67A3C"/>
    <w:rsid w:val="2CB744E2"/>
    <w:rsid w:val="2D67693D"/>
    <w:rsid w:val="2EA339A5"/>
    <w:rsid w:val="2EB931C8"/>
    <w:rsid w:val="30A60587"/>
    <w:rsid w:val="32A56DA7"/>
    <w:rsid w:val="332D7CE1"/>
    <w:rsid w:val="34AA79F0"/>
    <w:rsid w:val="35661288"/>
    <w:rsid w:val="382D0783"/>
    <w:rsid w:val="38467698"/>
    <w:rsid w:val="3A0932AA"/>
    <w:rsid w:val="3A79211C"/>
    <w:rsid w:val="3B0C0B24"/>
    <w:rsid w:val="3CD82080"/>
    <w:rsid w:val="3E6212CC"/>
    <w:rsid w:val="3F0A35CC"/>
    <w:rsid w:val="43187EFB"/>
    <w:rsid w:val="469945A1"/>
    <w:rsid w:val="46A65751"/>
    <w:rsid w:val="47C16834"/>
    <w:rsid w:val="47C456ED"/>
    <w:rsid w:val="490E3DD1"/>
    <w:rsid w:val="4AE000BE"/>
    <w:rsid w:val="4B186467"/>
    <w:rsid w:val="4DE07805"/>
    <w:rsid w:val="4E0A035C"/>
    <w:rsid w:val="4E3A3511"/>
    <w:rsid w:val="4E9223C8"/>
    <w:rsid w:val="510D4856"/>
    <w:rsid w:val="51476006"/>
    <w:rsid w:val="51C55131"/>
    <w:rsid w:val="52185DF5"/>
    <w:rsid w:val="539C73EC"/>
    <w:rsid w:val="53DD0D26"/>
    <w:rsid w:val="5447483C"/>
    <w:rsid w:val="54C87412"/>
    <w:rsid w:val="55545149"/>
    <w:rsid w:val="565F3FE4"/>
    <w:rsid w:val="578452AF"/>
    <w:rsid w:val="580E5A83"/>
    <w:rsid w:val="58926B7B"/>
    <w:rsid w:val="593C2162"/>
    <w:rsid w:val="5B2439B2"/>
    <w:rsid w:val="5BB46942"/>
    <w:rsid w:val="5D8F1B64"/>
    <w:rsid w:val="5DEA21A7"/>
    <w:rsid w:val="5FAD37A1"/>
    <w:rsid w:val="5FC01634"/>
    <w:rsid w:val="60155303"/>
    <w:rsid w:val="61BA27D8"/>
    <w:rsid w:val="67825B46"/>
    <w:rsid w:val="6A05798A"/>
    <w:rsid w:val="6A3A6264"/>
    <w:rsid w:val="6C755C79"/>
    <w:rsid w:val="6CA81631"/>
    <w:rsid w:val="6DFF3A4C"/>
    <w:rsid w:val="6ED861A0"/>
    <w:rsid w:val="6FD64C81"/>
    <w:rsid w:val="6FDC1165"/>
    <w:rsid w:val="74BB2FF2"/>
    <w:rsid w:val="77E9279A"/>
    <w:rsid w:val="79F20261"/>
    <w:rsid w:val="7C3E5CD1"/>
    <w:rsid w:val="7D8D55F8"/>
    <w:rsid w:val="7E394D59"/>
    <w:rsid w:val="7ED177D0"/>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DejaVu Sans" w:hAnsi="DejaVu Sans"/>
      <w:sz w:val="24"/>
    </w:rPr>
  </w:style>
  <w:style w:type="paragraph" w:styleId="3">
    <w:name w:val="annotation text"/>
    <w:basedOn w:val="1"/>
    <w:autoRedefine/>
    <w:semiHidden/>
    <w:unhideWhenUsed/>
    <w:qFormat/>
    <w:uiPriority w:val="99"/>
    <w:pPr>
      <w:jc w:val="left"/>
    </w:pPr>
  </w:style>
  <w:style w:type="paragraph" w:styleId="4">
    <w:name w:val="Body Text 3"/>
    <w:basedOn w:val="1"/>
    <w:autoRedefine/>
    <w:qFormat/>
    <w:uiPriority w:val="0"/>
    <w:rPr>
      <w:rFonts w:ascii="宋体" w:hAnsi="Calibri"/>
      <w:sz w:val="24"/>
      <w:szCs w:val="20"/>
    </w:rPr>
  </w:style>
  <w:style w:type="paragraph" w:styleId="5">
    <w:name w:val="Body Text"/>
    <w:basedOn w:val="1"/>
    <w:autoRedefine/>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6">
    <w:name w:val="Body Text Indent"/>
    <w:basedOn w:val="1"/>
    <w:autoRedefine/>
    <w:qFormat/>
    <w:uiPriority w:val="0"/>
    <w:pPr>
      <w:spacing w:line="360" w:lineRule="auto"/>
      <w:ind w:firstLine="420"/>
    </w:pPr>
    <w:rPr>
      <w:szCs w:val="20"/>
    </w:rPr>
  </w:style>
  <w:style w:type="paragraph" w:styleId="7">
    <w:name w:val="Balloon Text"/>
    <w:basedOn w:val="1"/>
    <w:link w:val="19"/>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2"/>
    <w:basedOn w:val="1"/>
    <w:autoRedefine/>
    <w:qFormat/>
    <w:uiPriority w:val="99"/>
    <w:pPr>
      <w:spacing w:after="120" w:line="480" w:lineRule="auto"/>
    </w:pPr>
    <w:rPr>
      <w:rFonts w:ascii="Calibri" w:hAnsi="Calibri"/>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6"/>
    <w:autoRedefine/>
    <w:unhideWhenUsed/>
    <w:qFormat/>
    <w:uiPriority w:val="0"/>
    <w:pPr>
      <w:ind w:firstLine="420" w:firstLineChars="200"/>
    </w:pPr>
  </w:style>
  <w:style w:type="character" w:styleId="15">
    <w:name w:val="Hyperlink"/>
    <w:basedOn w:val="14"/>
    <w:autoRedefine/>
    <w:qFormat/>
    <w:uiPriority w:val="0"/>
    <w:rPr>
      <w:color w:val="0000FF"/>
      <w:u w:val="none"/>
    </w:rPr>
  </w:style>
  <w:style w:type="paragraph" w:customStyle="1" w:styleId="16">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7">
    <w:name w:val="页眉 Char"/>
    <w:basedOn w:val="14"/>
    <w:link w:val="9"/>
    <w:autoRedefine/>
    <w:qFormat/>
    <w:uiPriority w:val="99"/>
    <w:rPr>
      <w:sz w:val="18"/>
      <w:szCs w:val="18"/>
    </w:rPr>
  </w:style>
  <w:style w:type="character" w:customStyle="1" w:styleId="18">
    <w:name w:val="页脚 Char"/>
    <w:basedOn w:val="14"/>
    <w:link w:val="8"/>
    <w:autoRedefine/>
    <w:qFormat/>
    <w:uiPriority w:val="99"/>
    <w:rPr>
      <w:sz w:val="18"/>
      <w:szCs w:val="18"/>
    </w:rPr>
  </w:style>
  <w:style w:type="character" w:customStyle="1" w:styleId="19">
    <w:name w:val="批注框文本 Char"/>
    <w:basedOn w:val="14"/>
    <w:link w:val="7"/>
    <w:autoRedefine/>
    <w:semiHidden/>
    <w:qFormat/>
    <w:uiPriority w:val="99"/>
    <w:rPr>
      <w:rFonts w:ascii="Times New Roman" w:hAnsi="Times New Roman" w:eastAsia="宋体" w:cs="Times New Roman"/>
      <w:kern w:val="2"/>
      <w:sz w:val="18"/>
      <w:szCs w:val="18"/>
    </w:rPr>
  </w:style>
  <w:style w:type="paragraph" w:customStyle="1"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3963</Words>
  <Characters>4407</Characters>
  <Lines>18</Lines>
  <Paragraphs>5</Paragraphs>
  <TotalTime>7</TotalTime>
  <ScaleCrop>false</ScaleCrop>
  <LinksUpToDate>false</LinksUpToDate>
  <CharactersWithSpaces>4566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赵慧峰</cp:lastModifiedBy>
  <dcterms:modified xsi:type="dcterms:W3CDTF">2024-05-06T05:57:54Z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B719AEF67E7D4A19BD842B83C4E7B3F4_13</vt:lpwstr>
  </property>
</Properties>
</file>