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蒙牛乳业低温眉山工厂电动升降叉车采购项目</w:t>
      </w: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singl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rPr>
        <w:t>蒙牛乳业低温眉山工厂电动升降叉车采购项目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MNCGJH-20240428-00</w:t>
      </w:r>
      <w:r>
        <w:rPr>
          <w:rFonts w:hint="eastAsia" w:ascii="仿宋" w:hAnsi="仿宋" w:eastAsia="仿宋" w:cs="仿宋"/>
          <w:bCs/>
          <w:color w:val="auto"/>
          <w:kern w:val="0"/>
          <w:sz w:val="28"/>
          <w:szCs w:val="28"/>
          <w:lang w:val="en-US" w:eastAsia="zh-CN"/>
        </w:rPr>
        <w:t>78</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蒙牛乳业低温眉山工厂电动升降叉车采购项目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1、现状：眉山工厂目前包装间产品入库均使用手动托盘车，手动托盘车易损坏且不方便员工操作，为保障生产需求，故需新增1台电动升降搬运车。经调研常温和鲜奶均无需求</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val="en-US" w:eastAsia="zh-CN"/>
        </w:rPr>
        <w:t>配置</w:t>
      </w: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额定载荷2000(kg)</w:t>
      </w:r>
      <w:r>
        <w:rPr>
          <w:rFonts w:hint="eastAsia" w:ascii="仿宋_GB2312" w:hAnsi="宋体" w:eastAsia="仿宋_GB2312" w:cs="Times New Roman"/>
          <w:color w:val="auto"/>
          <w:sz w:val="28"/>
          <w:szCs w:val="28"/>
          <w:lang w:eastAsia="zh-CN"/>
        </w:rPr>
        <w:t>；</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val="en-US" w:eastAsia="zh-CN"/>
        </w:rPr>
        <w:t>项目</w:t>
      </w:r>
      <w:r>
        <w:rPr>
          <w:rFonts w:hint="eastAsia" w:ascii="仿宋_GB2312" w:hAnsi="宋体" w:eastAsia="仿宋_GB2312" w:cs="Times New Roman"/>
          <w:color w:val="auto"/>
          <w:sz w:val="28"/>
          <w:szCs w:val="28"/>
        </w:rPr>
        <w:t>范围：</w:t>
      </w:r>
      <w:r>
        <w:rPr>
          <w:rFonts w:hint="eastAsia" w:ascii="仿宋_GB2312" w:hAnsi="宋体" w:eastAsia="仿宋_GB2312" w:cs="Times New Roman"/>
          <w:color w:val="auto"/>
          <w:sz w:val="28"/>
          <w:szCs w:val="28"/>
          <w:lang w:val="en-US" w:eastAsia="zh-CN"/>
        </w:rPr>
        <w:t>采购1台电动升降叉车</w:t>
      </w:r>
      <w:r>
        <w:rPr>
          <w:rFonts w:hint="eastAsia" w:ascii="仿宋_GB2312" w:hAnsi="宋体" w:eastAsia="仿宋_GB2312" w:cs="Times New Roman"/>
          <w:color w:val="auto"/>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1</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w:t>
      </w:r>
      <w:r>
        <w:rPr>
          <w:rFonts w:hint="eastAsia" w:ascii="仿宋_GB2312" w:hAnsi="宋体" w:eastAsia="仿宋_GB2312" w:cs="Times New Roman"/>
          <w:color w:val="FF0000"/>
          <w:sz w:val="28"/>
          <w:szCs w:val="28"/>
          <w:lang w:val="en-US" w:eastAsia="zh-CN"/>
        </w:rPr>
        <w:t>价</w:t>
      </w:r>
      <w:r>
        <w:rPr>
          <w:rFonts w:hint="eastAsia" w:ascii="仿宋_GB2312" w:hAnsi="宋体" w:eastAsia="仿宋_GB2312" w:cs="Times New Roman"/>
          <w:color w:val="FF0000"/>
          <w:sz w:val="28"/>
          <w:szCs w:val="28"/>
        </w:rPr>
        <w:t>人必须是在中华人民共和国境内注册的，具有独立法人资格的企业</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FF0000"/>
          <w:sz w:val="28"/>
          <w:szCs w:val="28"/>
        </w:rPr>
        <w:t>2</w:t>
      </w:r>
      <w:r>
        <w:rPr>
          <w:rFonts w:hint="eastAsia" w:ascii="仿宋_GB2312" w:hAnsi="宋体" w:eastAsia="仿宋_GB2312" w:cs="Times New Roman"/>
          <w:color w:val="FF0000"/>
          <w:sz w:val="28"/>
          <w:szCs w:val="28"/>
          <w:lang w:eastAsia="zh-CN"/>
        </w:rPr>
        <w:t>、</w:t>
      </w:r>
      <w:r>
        <w:rPr>
          <w:rFonts w:hint="eastAsia" w:ascii="仿宋_GB2312" w:hAnsi="宋体" w:eastAsia="仿宋_GB2312" w:cs="Times New Roman"/>
          <w:color w:val="FF0000"/>
          <w:sz w:val="28"/>
          <w:szCs w:val="28"/>
        </w:rPr>
        <w:t>竞谈人必须具有本次采购设备销售和安装（以上两项需同时具备）能力的制造厂商或授权代理商，若是授权代理商，必须取得所投标产品的生产制造商出具的书面授权书；且采购方只接受生产厂家一份项目授权书</w:t>
      </w:r>
      <w:r>
        <w:rPr>
          <w:rFonts w:hint="eastAsia" w:ascii="仿宋_GB2312" w:hAnsi="宋体" w:eastAsia="仿宋_GB2312" w:cs="Times New Roman"/>
          <w:color w:val="FF0000"/>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FF0000"/>
          <w:sz w:val="28"/>
          <w:szCs w:val="28"/>
          <w:lang w:eastAsia="zh-CN"/>
        </w:rPr>
        <w:t>企业最近1年任意3个月的依法纳税证明材料和社保缴纳证明材料；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人2021年1月1日至今须具有两个及以上类似项目业绩</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人2021至2023年须具有财务报表或经第三方审计的财务报告</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FF0000"/>
          <w:sz w:val="28"/>
          <w:szCs w:val="28"/>
          <w:lang w:eastAsia="zh-CN"/>
        </w:rPr>
        <w:t>；</w:t>
      </w:r>
    </w:p>
    <w:p>
      <w:pPr>
        <w:pStyle w:val="8"/>
        <w:widowControl/>
        <w:numPr>
          <w:ilvl w:val="0"/>
          <w:numId w:val="1"/>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 w:hAnsi="仿宋" w:eastAsia="仿宋" w:cs="仿宋"/>
          <w:color w:val="FF0000"/>
          <w:sz w:val="28"/>
          <w:szCs w:val="28"/>
        </w:rPr>
        <w:t>提供</w:t>
      </w:r>
      <w:r>
        <w:rPr>
          <w:rFonts w:hint="eastAsia" w:ascii="仿宋" w:hAnsi="仿宋" w:eastAsia="仿宋"/>
          <w:color w:val="FF0000"/>
          <w:sz w:val="28"/>
          <w:szCs w:val="28"/>
        </w:rPr>
        <w:t>本次采购设备</w:t>
      </w:r>
      <w:r>
        <w:rPr>
          <w:rFonts w:hint="eastAsia" w:ascii="仿宋" w:hAnsi="仿宋" w:eastAsia="仿宋" w:cs="仿宋"/>
          <w:color w:val="FF0000"/>
          <w:sz w:val="28"/>
          <w:szCs w:val="28"/>
        </w:rPr>
        <w:t>销售和安装（以上两项需同时具备）能力的设备厂商承诺书，若是授权代理商，提供所投标货物生产制造商出具的书面授权书；采购方只接受生产厂家一份项目授权书</w:t>
      </w:r>
      <w:r>
        <w:rPr>
          <w:rFonts w:hint="eastAsia" w:ascii="仿宋" w:hAnsi="仿宋" w:eastAsia="仿宋" w:cs="仿宋"/>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right="84" w:rightChars="40" w:firstLine="565" w:firstLineChars="202"/>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）提供近</w:t>
      </w:r>
      <w:r>
        <w:rPr>
          <w:rFonts w:ascii="仿宋_GB2312" w:hAnsi="宋体" w:eastAsia="仿宋_GB2312"/>
          <w:color w:val="auto"/>
          <w:sz w:val="28"/>
          <w:szCs w:val="28"/>
        </w:rPr>
        <w:t>3</w:t>
      </w:r>
      <w:r>
        <w:rPr>
          <w:rFonts w:hint="eastAsia" w:ascii="仿宋_GB2312" w:hAnsi="宋体" w:eastAsia="仿宋_GB2312"/>
          <w:color w:val="auto"/>
          <w:sz w:val="28"/>
          <w:szCs w:val="28"/>
        </w:rPr>
        <w:t>年（2021 年-至今）类似</w:t>
      </w:r>
      <w:r>
        <w:rPr>
          <w:rFonts w:hint="eastAsia" w:ascii="仿宋_GB2312" w:hAnsi="宋体" w:eastAsia="仿宋_GB2312"/>
          <w:color w:val="auto"/>
          <w:sz w:val="28"/>
          <w:szCs w:val="28"/>
          <w:lang w:val="en-US" w:eastAsia="zh-CN"/>
        </w:rPr>
        <w:t>两</w:t>
      </w:r>
      <w:r>
        <w:rPr>
          <w:rFonts w:ascii="仿宋_GB2312" w:hAnsi="宋体" w:eastAsia="仿宋_GB2312"/>
          <w:color w:val="auto"/>
          <w:sz w:val="28"/>
          <w:szCs w:val="28"/>
        </w:rPr>
        <w:t>个</w:t>
      </w:r>
      <w:r>
        <w:rPr>
          <w:rFonts w:hint="eastAsia" w:ascii="仿宋_GB2312" w:hAnsi="宋体" w:eastAsia="仿宋_GB2312"/>
          <w:color w:val="auto"/>
          <w:sz w:val="28"/>
          <w:szCs w:val="28"/>
        </w:rPr>
        <w:t>项目业绩的证明材料（以合同以及订单或验收报告为准）；</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2、资格预审时间：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4</w:t>
      </w:r>
      <w:r>
        <w:rPr>
          <w:rFonts w:hint="eastAsia" w:ascii="仿宋_GB2312" w:hAnsi="宋体" w:eastAsia="仿宋_GB2312"/>
          <w:color w:val="FF0000"/>
          <w:sz w:val="28"/>
          <w:szCs w:val="28"/>
        </w:rPr>
        <w:t>日至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3、询价单发放时间：资格预审合格后于</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17</w:t>
      </w:r>
      <w:r>
        <w:rPr>
          <w:rFonts w:hint="eastAsia" w:ascii="仿宋_GB2312" w:hAnsi="宋体" w:eastAsia="仿宋_GB2312"/>
          <w:color w:val="FF0000"/>
          <w:sz w:val="28"/>
          <w:szCs w:val="28"/>
        </w:rPr>
        <w:t>日至    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ascii="仿宋_GB2312" w:hAnsi="宋体" w:eastAsia="仿宋_GB2312"/>
          <w:color w:val="FF0000"/>
          <w:sz w:val="28"/>
          <w:szCs w:val="28"/>
        </w:rPr>
        <w:t>1</w:t>
      </w:r>
      <w:r>
        <w:rPr>
          <w:rFonts w:hint="eastAsia" w:ascii="仿宋_GB2312" w:hAnsi="宋体" w:eastAsia="仿宋_GB2312"/>
          <w:color w:val="FF0000"/>
          <w:sz w:val="28"/>
          <w:szCs w:val="28"/>
          <w:lang w:val="en-US" w:eastAsia="zh-CN"/>
        </w:rPr>
        <w:t>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FF0000"/>
          <w:sz w:val="28"/>
          <w:szCs w:val="28"/>
        </w:rPr>
        <w:t>发放询价单。</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rPr>
        <w:t>5</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18时止；</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、比价时间：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ascii="仿宋_GB2312" w:hAnsi="宋体" w:eastAsia="仿宋_GB2312"/>
          <w:color w:val="FF0000"/>
          <w:sz w:val="28"/>
          <w:szCs w:val="28"/>
          <w:u w:val="single"/>
        </w:rPr>
        <w:t>5</w:t>
      </w:r>
      <w:r>
        <w:rPr>
          <w:rFonts w:hint="eastAsia" w:ascii="仿宋_GB2312" w:hAnsi="宋体" w:eastAsia="仿宋_GB2312"/>
          <w:color w:val="FF0000"/>
          <w:sz w:val="28"/>
          <w:szCs w:val="28"/>
          <w:u w:val="single"/>
        </w:rPr>
        <w:t>月</w:t>
      </w:r>
      <w:r>
        <w:rPr>
          <w:rFonts w:ascii="仿宋_GB2312" w:hAnsi="宋体" w:eastAsia="仿宋_GB2312"/>
          <w:color w:val="FF0000"/>
          <w:sz w:val="28"/>
          <w:szCs w:val="28"/>
          <w:u w:val="single"/>
        </w:rPr>
        <w:t>2</w:t>
      </w:r>
      <w:r>
        <w:rPr>
          <w:rFonts w:hint="eastAsia" w:ascii="仿宋_GB2312" w:hAnsi="宋体" w:eastAsia="仿宋_GB2312"/>
          <w:color w:val="FF0000"/>
          <w:sz w:val="28"/>
          <w:szCs w:val="28"/>
          <w:u w:val="single"/>
          <w:lang w:val="en-US" w:eastAsia="zh-CN"/>
        </w:rPr>
        <w:t>7</w:t>
      </w:r>
      <w:r>
        <w:rPr>
          <w:rFonts w:hint="eastAsia" w:ascii="仿宋_GB2312" w:hAnsi="宋体" w:eastAsia="仿宋_GB2312"/>
          <w:color w:val="FF0000"/>
          <w:sz w:val="28"/>
          <w:szCs w:val="28"/>
          <w:u w:val="single"/>
        </w:rPr>
        <w:t>日</w:t>
      </w:r>
      <w:r>
        <w:rPr>
          <w:rFonts w:hint="eastAsia" w:ascii="仿宋_GB2312" w:hAnsi="宋体" w:eastAsia="仿宋_GB2312"/>
          <w:color w:val="FF0000"/>
          <w:sz w:val="28"/>
          <w:szCs w:val="28"/>
          <w:u w:val="single"/>
          <w:lang w:val="en-US" w:eastAsia="zh-CN"/>
        </w:rPr>
        <w:t>15</w:t>
      </w:r>
      <w:r>
        <w:rPr>
          <w:rFonts w:hint="eastAsia" w:ascii="仿宋_GB2312" w:hAnsi="宋体" w:eastAsia="仿宋_GB2312"/>
          <w:color w:val="FF0000"/>
          <w:sz w:val="28"/>
          <w:szCs w:val="28"/>
          <w:u w:val="single"/>
        </w:rPr>
        <w:t>：</w:t>
      </w:r>
      <w:r>
        <w:rPr>
          <w:rFonts w:hint="eastAsia" w:ascii="仿宋_GB2312" w:hAnsi="宋体" w:eastAsia="仿宋_GB2312"/>
          <w:color w:val="FF0000"/>
          <w:sz w:val="28"/>
          <w:szCs w:val="28"/>
          <w:u w:val="single"/>
          <w:lang w:val="en-US" w:eastAsia="zh-CN"/>
        </w:rPr>
        <w:t>3</w:t>
      </w:r>
      <w:r>
        <w:rPr>
          <w:rFonts w:ascii="仿宋_GB2312" w:hAnsi="宋体" w:eastAsia="仿宋_GB2312"/>
          <w:color w:val="FF0000"/>
          <w:sz w:val="28"/>
          <w:szCs w:val="28"/>
          <w:u w:val="single"/>
        </w:rPr>
        <w:t>0</w:t>
      </w:r>
      <w:r>
        <w:rPr>
          <w:rFonts w:hint="eastAsia" w:ascii="仿宋_GB2312" w:hAnsi="宋体" w:eastAsia="仿宋_GB2312"/>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采购方：</w:t>
      </w:r>
      <w:r>
        <w:rPr>
          <w:rFonts w:hint="eastAsia" w:ascii="仿宋_GB2312" w:hAnsi="宋体" w:eastAsia="仿宋_GB2312"/>
          <w:color w:val="FF0000"/>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业务咨询联系人：</w:t>
      </w:r>
      <w:r>
        <w:rPr>
          <w:rFonts w:hint="eastAsia" w:ascii="仿宋_GB2312" w:hAnsi="宋体" w:eastAsia="仿宋_GB2312"/>
          <w:color w:val="FF0000"/>
          <w:sz w:val="28"/>
          <w:szCs w:val="28"/>
          <w:lang w:val="en-US" w:eastAsia="zh-CN"/>
        </w:rPr>
        <w:t>刘杰</w:t>
      </w:r>
      <w:r>
        <w:rPr>
          <w:rFonts w:ascii="仿宋_GB2312" w:hAnsi="宋体" w:eastAsia="仿宋_GB2312"/>
          <w:color w:val="FF0000"/>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联系方式：1</w:t>
      </w:r>
      <w:r>
        <w:rPr>
          <w:rFonts w:ascii="仿宋_GB2312" w:hAnsi="宋体" w:eastAsia="仿宋_GB2312"/>
          <w:color w:val="FF0000"/>
          <w:sz w:val="28"/>
          <w:szCs w:val="28"/>
        </w:rPr>
        <w:t>8</w:t>
      </w:r>
      <w:r>
        <w:rPr>
          <w:rFonts w:hint="eastAsia" w:ascii="仿宋_GB2312" w:hAnsi="宋体" w:eastAsia="仿宋_GB2312"/>
          <w:color w:val="FF0000"/>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王豹豹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18080363600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ascii="华文仿宋" w:hAnsi="华文仿宋" w:eastAsia="华文仿宋"/>
          <w:sz w:val="28"/>
          <w:szCs w:val="28"/>
        </w:rPr>
        <w:t>5</w:t>
      </w:r>
      <w:r>
        <w:rPr>
          <w:rFonts w:hint="eastAsia" w:ascii="华文仿宋" w:hAnsi="华文仿宋" w:eastAsia="华文仿宋"/>
          <w:sz w:val="28"/>
          <w:szCs w:val="28"/>
        </w:rPr>
        <w:t>月</w:t>
      </w:r>
      <w:r>
        <w:rPr>
          <w:rFonts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EB904"/>
    <w:multiLevelType w:val="singleLevel"/>
    <w:tmpl w:val="EF0EB904"/>
    <w:lvl w:ilvl="0" w:tentative="0">
      <w:start w:val="3"/>
      <w:numFmt w:val="decimal"/>
      <w:suff w:val="nothing"/>
      <w:lvlText w:val="（%1）"/>
      <w:lvlJc w:val="left"/>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zU1N2IwMjc0NzAwZGQzMWExMDVhNzdhYTQxM2E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8EE7891"/>
    <w:rsid w:val="0AFD1351"/>
    <w:rsid w:val="0B6B7CFC"/>
    <w:rsid w:val="1F62638E"/>
    <w:rsid w:val="2A272ED1"/>
    <w:rsid w:val="2EA52239"/>
    <w:rsid w:val="310B704C"/>
    <w:rsid w:val="38A47697"/>
    <w:rsid w:val="39442B60"/>
    <w:rsid w:val="39E7589A"/>
    <w:rsid w:val="3AF41253"/>
    <w:rsid w:val="3E6F38A3"/>
    <w:rsid w:val="41771449"/>
    <w:rsid w:val="44C00577"/>
    <w:rsid w:val="48766F11"/>
    <w:rsid w:val="4B196765"/>
    <w:rsid w:val="4C101EFD"/>
    <w:rsid w:val="4C147838"/>
    <w:rsid w:val="5EEC5AED"/>
    <w:rsid w:val="61597CE6"/>
    <w:rsid w:val="698067CB"/>
    <w:rsid w:val="6C5775D3"/>
    <w:rsid w:val="6F7F7523"/>
    <w:rsid w:val="70603795"/>
    <w:rsid w:val="717C3606"/>
    <w:rsid w:val="721F48DD"/>
    <w:rsid w:val="724F3390"/>
    <w:rsid w:val="742C3C59"/>
    <w:rsid w:val="76B56CB8"/>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1038</Words>
  <Characters>5921</Characters>
  <Lines>49</Lines>
  <Paragraphs>13</Paragraphs>
  <TotalTime>20</TotalTime>
  <ScaleCrop>false</ScaleCrop>
  <LinksUpToDate>false</LinksUpToDate>
  <CharactersWithSpaces>6946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2024-05-11T08:55:53Z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5B13FD73784C463E9A8596DF30748435_12</vt:lpwstr>
  </property>
</Properties>
</file>