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蒙牛乳业油烟管道清洗项目</w:t>
      </w:r>
    </w:p>
    <w:p>
      <w:pPr>
        <w:widowControl/>
        <w:shd w:val="clear" w:color="auto" w:fill="FFFFFF"/>
        <w:snapToGrid w:val="0"/>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rPr>
        <w:t>询比价信息公告</w:t>
      </w:r>
      <w:r>
        <w:rPr>
          <w:rFonts w:hint="eastAsia" w:ascii="宋体" w:hAnsi="宋体" w:cs="宋体"/>
          <w:b/>
          <w:bCs/>
          <w:kern w:val="0"/>
          <w:sz w:val="36"/>
          <w:szCs w:val="36"/>
          <w:lang w:eastAsia="zh-CN"/>
        </w:rPr>
        <w:t>（</w:t>
      </w:r>
      <w:r>
        <w:rPr>
          <w:rFonts w:hint="eastAsia" w:ascii="宋体" w:hAnsi="宋体" w:cs="宋体"/>
          <w:b/>
          <w:bCs/>
          <w:kern w:val="0"/>
          <w:sz w:val="36"/>
          <w:szCs w:val="36"/>
          <w:lang w:val="en-US" w:eastAsia="zh-CN"/>
        </w:rPr>
        <w:t>二次）</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color w:val="FF0000"/>
          <w:sz w:val="28"/>
          <w:szCs w:val="28"/>
          <w:u w:val="single"/>
          <w:lang w:val="en-US" w:eastAsia="zh-CN"/>
        </w:rPr>
        <w:t>低温</w:t>
      </w:r>
      <w:r>
        <w:rPr>
          <w:rFonts w:hint="eastAsia" w:ascii="仿宋_GB2312" w:hAnsi="宋体" w:eastAsia="仿宋_GB2312"/>
          <w:sz w:val="28"/>
          <w:szCs w:val="28"/>
        </w:rPr>
        <w:t>事业部就餐厅油烟管道清洗项目进行询比价,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一、项目编号：MNCGJH-20240425-0005-0001</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 xml:space="preserve">：蒙牛低温北京工厂餐厅油烟管道清洗项目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根据《北京市餐饮经营单位安全生产规定》，餐厅油烟管道每60日需清洗一次。</w:t>
      </w:r>
    </w:p>
    <w:p>
      <w:pPr>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清洗内容包括：油烟管道、灶台、烟罩、风机、净化器、墙面、地面；清洗油烟净化器电场、内部箱体、磁柱、外部箱体等；电压、电流检测。</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color w:val="FF0000"/>
          <w:sz w:val="28"/>
          <w:szCs w:val="28"/>
        </w:rPr>
      </w:pPr>
      <w:r>
        <w:rPr>
          <w:rFonts w:hint="eastAsia" w:ascii="仿宋_GB2312" w:hAnsi="宋体" w:eastAsia="仿宋_GB2312"/>
          <w:color w:val="FF0000"/>
          <w:sz w:val="28"/>
          <w:szCs w:val="28"/>
        </w:rPr>
        <w:t>1、年检合格的营业执照、组织机构代码证、税务登记证、资质证书、实施许可的提供相关许可证书、法定代表人证明书、法定代表人授权委托书、近</w:t>
      </w:r>
      <w:r>
        <w:rPr>
          <w:rFonts w:hint="eastAsia" w:ascii="仿宋_GB2312" w:hAnsi="宋体" w:eastAsia="仿宋_GB2312"/>
          <w:color w:val="FF0000"/>
          <w:sz w:val="28"/>
          <w:szCs w:val="28"/>
          <w:u w:val="single"/>
          <w:lang w:val="en-US" w:eastAsia="zh-CN"/>
        </w:rPr>
        <w:t>2</w:t>
      </w:r>
      <w:r>
        <w:rPr>
          <w:rFonts w:hint="eastAsia" w:ascii="仿宋_GB2312" w:hAnsi="宋体" w:eastAsia="仿宋_GB2312"/>
          <w:color w:val="FF0000"/>
          <w:sz w:val="28"/>
          <w:szCs w:val="28"/>
        </w:rPr>
        <w:t>年类似项目业绩表。</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hint="eastAsia" w:ascii="仿宋" w:hAnsi="仿宋" w:eastAsia="仿宋" w:cs="仿宋"/>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pStyle w:val="7"/>
        <w:keepNext w:val="0"/>
        <w:keepLines w:val="0"/>
        <w:widowControl/>
        <w:suppressLineNumbers w:val="0"/>
        <w:spacing w:before="0" w:beforeAutospacing="0" w:after="0" w:afterAutospacing="0" w:line="360" w:lineRule="auto"/>
        <w:ind w:left="0" w:firstLine="565"/>
        <w:jc w:val="left"/>
      </w:pPr>
      <w:r>
        <w:rPr>
          <w:rFonts w:ascii="仿宋" w:hAnsi="仿宋" w:eastAsia="仿宋" w:cs="仿宋"/>
          <w:sz w:val="28"/>
          <w:szCs w:val="28"/>
          <w:shd w:val="clear" w:fill="FFFFFF"/>
        </w:rPr>
        <w:t>本项目采用全流程电子化招标采购方式，</w:t>
      </w:r>
      <w:r>
        <w:rPr>
          <w:rFonts w:hint="eastAsia" w:ascii="仿宋" w:hAnsi="仿宋" w:eastAsia="仿宋" w:cs="仿宋"/>
          <w:b/>
          <w:bCs/>
          <w:sz w:val="28"/>
          <w:szCs w:val="28"/>
          <w:shd w:val="clear" w:fill="FFFFFF"/>
        </w:rPr>
        <w:t>以上各类证书、证明材料应为原件的扫描件或复印件且逐页加盖公章</w:t>
      </w:r>
      <w:r>
        <w:rPr>
          <w:rFonts w:hint="eastAsia" w:ascii="仿宋" w:hAnsi="仿宋" w:eastAsia="仿宋" w:cs="仿宋"/>
          <w:sz w:val="28"/>
          <w:szCs w:val="28"/>
          <w:shd w:val="clear" w:fill="FFFFFF"/>
        </w:rPr>
        <w:t>，并于报名截止时间前在“蒙牛集团电子采购招标平台（https://zbcg.mengniu.cn/#/home ）”进行线上提交，进行资格审查（过期提交不予受理），审查合格后方可发放询价单（仅作为发放询价单的依据）。</w:t>
      </w:r>
    </w:p>
    <w:p>
      <w:pPr>
        <w:pStyle w:val="7"/>
        <w:keepNext w:val="0"/>
        <w:keepLines w:val="0"/>
        <w:widowControl/>
        <w:suppressLineNumbers w:val="0"/>
        <w:spacing w:before="0" w:beforeAutospacing="0" w:after="0" w:afterAutospacing="0" w:line="360" w:lineRule="auto"/>
        <w:ind w:left="0" w:firstLine="565"/>
        <w:jc w:val="left"/>
      </w:pPr>
      <w:r>
        <w:rPr>
          <w:rFonts w:hint="eastAsia" w:ascii="仿宋" w:hAnsi="仿宋" w:eastAsia="仿宋" w:cs="仿宋"/>
          <w:sz w:val="28"/>
          <w:szCs w:val="28"/>
          <w:shd w:val="clear" w:fill="FFFFFF"/>
        </w:rPr>
        <w:t>资料提供不全或者未按时间要求提报的将被拒绝接收，所提供的资质、业绩文件中如有虚假情况，一经发现将被取消询价资格。</w:t>
      </w:r>
    </w:p>
    <w:p>
      <w:pPr>
        <w:pStyle w:val="7"/>
        <w:keepNext w:val="0"/>
        <w:keepLines w:val="0"/>
        <w:widowControl/>
        <w:suppressLineNumbers w:val="0"/>
        <w:spacing w:before="0" w:beforeAutospacing="0" w:after="0" w:afterAutospacing="0" w:line="360" w:lineRule="auto"/>
        <w:ind w:left="0" w:firstLine="565"/>
        <w:jc w:val="left"/>
        <w:rPr>
          <w:rFonts w:hint="eastAsia" w:ascii="仿宋" w:hAnsi="仿宋" w:eastAsia="仿宋" w:cs="仿宋"/>
          <w:sz w:val="28"/>
          <w:szCs w:val="28"/>
        </w:rPr>
      </w:pPr>
      <w:r>
        <w:rPr>
          <w:rFonts w:hint="eastAsia" w:ascii="仿宋" w:hAnsi="仿宋" w:eastAsia="仿宋" w:cs="仿宋"/>
          <w:sz w:val="28"/>
          <w:szCs w:val="28"/>
          <w:shd w:val="clear" w:fill="FFFFFF"/>
        </w:rPr>
        <w:t>供应商自收到询价单之日起，应确保其向采购方或采购代理机构提供的通讯手段（电话、邮箱）一直有效，以保证往来函件能及时传达并及时反馈信息，否则由此引起的一切后果由供应商承担。</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pStyle w:val="7"/>
        <w:keepNext w:val="0"/>
        <w:keepLines w:val="0"/>
        <w:widowControl/>
        <w:suppressLineNumbers w:val="0"/>
        <w:spacing w:before="0" w:beforeAutospacing="0" w:after="0" w:afterAutospacing="0" w:line="360" w:lineRule="auto"/>
        <w:ind w:left="0" w:firstLine="565"/>
        <w:jc w:val="left"/>
      </w:pPr>
      <w:r>
        <w:rPr>
          <w:rFonts w:ascii="仿宋" w:hAnsi="仿宋" w:eastAsia="仿宋" w:cs="仿宋"/>
          <w:sz w:val="28"/>
          <w:szCs w:val="28"/>
          <w:shd w:val="clear" w:fill="FFFFFF"/>
        </w:rPr>
        <w:t>潜在供应商依据资格要求自主评估，符合条件的登录“蒙牛集团电子采购招标平台”进行网上报名、资格验证、获得询价单、澄清答疑和参与询价会等，过程中如有疑问可咨询平台服务支持，电话4008056850或咨询采购方业务咨询联系人。</w:t>
      </w:r>
    </w:p>
    <w:p>
      <w:pPr>
        <w:pStyle w:val="7"/>
        <w:keepNext w:val="0"/>
        <w:keepLines w:val="0"/>
        <w:widowControl/>
        <w:suppressLineNumbers w:val="0"/>
        <w:spacing w:before="0" w:beforeAutospacing="0" w:after="0" w:afterAutospacing="0" w:line="360" w:lineRule="auto"/>
        <w:ind w:left="0" w:firstLine="565"/>
        <w:jc w:val="left"/>
        <w:rPr>
          <w:rFonts w:ascii="仿宋_GB2312" w:hAnsi="宋体" w:eastAsia="仿宋_GB2312"/>
          <w:b/>
          <w:i/>
          <w:color w:val="FF0000"/>
          <w:sz w:val="28"/>
          <w:szCs w:val="28"/>
        </w:rPr>
      </w:pPr>
      <w:r>
        <w:rPr>
          <w:rFonts w:hint="eastAsia" w:ascii="仿宋" w:hAnsi="仿宋" w:eastAsia="仿宋" w:cs="仿宋"/>
          <w:color w:val="000000"/>
          <w:sz w:val="28"/>
          <w:szCs w:val="28"/>
          <w:shd w:val="clear" w:fill="FFFFFF"/>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color w:val="FF0000"/>
          <w:sz w:val="28"/>
          <w:szCs w:val="28"/>
        </w:rPr>
      </w:pPr>
      <w:r>
        <w:rPr>
          <w:rFonts w:hint="eastAsia" w:ascii="仿宋_GB2312" w:hAnsi="宋体" w:eastAsia="仿宋_GB2312"/>
          <w:color w:val="FF0000"/>
          <w:sz w:val="28"/>
          <w:szCs w:val="28"/>
        </w:rPr>
        <w:t>1、</w:t>
      </w:r>
      <w:r>
        <w:rPr>
          <w:rFonts w:hint="eastAsia" w:ascii="仿宋" w:hAnsi="仿宋" w:eastAsia="仿宋" w:cs="仿宋"/>
          <w:color w:val="FF0000"/>
          <w:sz w:val="28"/>
          <w:szCs w:val="28"/>
        </w:rPr>
        <w:t>有效的营业执照（副本）、组织机构代码证（副本）、税务登记证（副本）（注:以上三项或三证合一营业执照副本），有效的开户行许可证；</w:t>
      </w:r>
    </w:p>
    <w:p>
      <w:pPr>
        <w:pStyle w:val="7"/>
        <w:keepNext w:val="0"/>
        <w:keepLines w:val="0"/>
        <w:widowControl/>
        <w:suppressLineNumbers w:val="0"/>
        <w:spacing w:before="0" w:beforeAutospacing="0" w:after="0" w:afterAutospacing="0" w:line="360" w:lineRule="auto"/>
        <w:ind w:left="0" w:firstLine="560"/>
        <w:jc w:val="left"/>
      </w:pPr>
      <w:r>
        <w:rPr>
          <w:rFonts w:ascii="仿宋_GB2312" w:hAnsi="宋体" w:eastAsia="仿宋_GB2312"/>
          <w:color w:val="000000"/>
          <w:sz w:val="28"/>
          <w:szCs w:val="28"/>
        </w:rPr>
        <w:t>2、</w:t>
      </w:r>
      <w:r>
        <w:rPr>
          <w:rFonts w:ascii="仿宋" w:hAnsi="仿宋" w:eastAsia="仿宋" w:cs="仿宋"/>
          <w:color w:val="000000"/>
          <w:sz w:val="28"/>
          <w:szCs w:val="28"/>
          <w:shd w:val="clear" w:fill="FFFFFF"/>
        </w:rPr>
        <w:t>法定代表人证明书或授权委托书；</w:t>
      </w:r>
    </w:p>
    <w:p>
      <w:pPr>
        <w:pStyle w:val="7"/>
        <w:keepNext w:val="0"/>
        <w:keepLines w:val="0"/>
        <w:widowControl/>
        <w:suppressLineNumbers w:val="0"/>
        <w:spacing w:before="0" w:beforeAutospacing="0" w:after="0" w:afterAutospacing="0" w:line="360" w:lineRule="auto"/>
        <w:ind w:left="0" w:firstLine="560"/>
        <w:jc w:val="left"/>
        <w:rPr>
          <w:rFonts w:ascii="仿宋" w:hAnsi="仿宋" w:eastAsia="仿宋" w:cs="仿宋"/>
          <w:sz w:val="28"/>
          <w:szCs w:val="28"/>
        </w:rPr>
      </w:pPr>
      <w:r>
        <w:rPr>
          <w:rFonts w:hint="eastAsia" w:ascii="仿宋" w:hAnsi="仿宋" w:eastAsia="仿宋" w:cs="仿宋"/>
          <w:color w:val="000000"/>
          <w:sz w:val="28"/>
          <w:szCs w:val="28"/>
          <w:shd w:val="clear" w:fill="FFFFFF"/>
        </w:rPr>
        <w:t>备注：法定代表人须上传法人证明材料及身份证扫描件，若为被授权人须上传一份法人授权委托书和身份证扫描件及被授权委托人近</w:t>
      </w:r>
      <w:r>
        <w:rPr>
          <w:rFonts w:hint="eastAsia" w:ascii="仿宋" w:hAnsi="仿宋" w:eastAsia="仿宋" w:cs="仿宋"/>
          <w:color w:val="FF0000"/>
          <w:sz w:val="28"/>
          <w:szCs w:val="28"/>
          <w:u w:val="single"/>
          <w:shd w:val="clear" w:fill="FFFFFF"/>
        </w:rPr>
        <w:t>一年</w:t>
      </w:r>
      <w:r>
        <w:rPr>
          <w:rFonts w:hint="eastAsia" w:ascii="仿宋" w:hAnsi="仿宋" w:eastAsia="仿宋" w:cs="仿宋"/>
          <w:color w:val="000000"/>
          <w:sz w:val="28"/>
          <w:szCs w:val="28"/>
          <w:shd w:val="clear" w:fill="FFFFFF"/>
        </w:rPr>
        <w:t>内在本单位的社保证明材料；</w:t>
      </w:r>
      <w:r>
        <w:rPr>
          <w:rFonts w:ascii="仿宋" w:hAnsi="仿宋" w:eastAsia="仿宋" w:cs="仿宋"/>
          <w:sz w:val="28"/>
          <w:szCs w:val="28"/>
        </w:rPr>
        <w:t xml:space="preserve"> </w:t>
      </w:r>
    </w:p>
    <w:p>
      <w:pPr>
        <w:pStyle w:val="7"/>
        <w:keepNext w:val="0"/>
        <w:keepLines w:val="0"/>
        <w:widowControl/>
        <w:suppressLineNumbers w:val="0"/>
        <w:spacing w:before="0" w:beforeAutospacing="0" w:after="0" w:afterAutospacing="0"/>
        <w:ind w:left="0" w:firstLine="560" w:firstLineChars="200"/>
        <w:jc w:val="left"/>
        <w:rPr>
          <w:rFonts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shd w:val="clear" w:fill="FFFFFF"/>
        </w:rPr>
        <w:t>提供一般纳税人认定资格证明材料；</w:t>
      </w: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4、提供本企业近三年（2021-2023年）财务报表或第三方财务审计报告；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spacing w:line="500" w:lineRule="exact"/>
        <w:ind w:firstLine="565" w:firstLineChars="202"/>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6、提供本企业（2021年-至今）至少两个及以上类似项目业绩的证明材料（以合同为准）；</w:t>
      </w:r>
    </w:p>
    <w:p>
      <w:pPr>
        <w:spacing w:line="500" w:lineRule="exact"/>
        <w:ind w:firstLine="565" w:firstLineChars="202"/>
        <w:jc w:val="left"/>
        <w:rPr>
          <w:rFonts w:ascii="仿宋_GB2312" w:hAnsi="宋体" w:eastAsia="仿宋_GB2312"/>
          <w:color w:val="FF0000"/>
          <w:sz w:val="28"/>
          <w:szCs w:val="28"/>
        </w:rPr>
      </w:pPr>
      <w:r>
        <w:rPr>
          <w:rFonts w:hint="eastAsia" w:ascii="仿宋_GB2312" w:hAnsi="宋体" w:eastAsia="仿宋_GB2312"/>
          <w:color w:val="FF0000"/>
          <w:sz w:val="28"/>
          <w:szCs w:val="28"/>
        </w:rPr>
        <w:t>7、提供本企业未被列入国家企业信用信息公示系统（http://www.gsxt.gov.cn/index.html）严重违法失信企业名单。</w:t>
      </w:r>
    </w:p>
    <w:p>
      <w:pPr>
        <w:ind w:firstLine="565" w:firstLineChars="202"/>
        <w:rPr>
          <w:rFonts w:cs="仿宋" w:asciiTheme="minorEastAsia" w:hAnsiTheme="minorEastAsia" w:eastAsiaTheme="minorEastAsia"/>
          <w:b/>
          <w:sz w:val="28"/>
          <w:szCs w:val="28"/>
        </w:rPr>
      </w:pPr>
      <w:r>
        <w:rPr>
          <w:rFonts w:hint="eastAsia" w:ascii="仿宋_GB2312" w:hAnsi="宋体" w:eastAsia="仿宋_GB2312"/>
          <w:color w:val="FF0000"/>
          <w:sz w:val="28"/>
          <w:szCs w:val="28"/>
        </w:rPr>
        <w:t>8、保密承诺书</w:t>
      </w:r>
      <w:r>
        <w:rPr>
          <w:rFonts w:hint="eastAsia" w:ascii="仿宋_GB2312" w:hAnsi="宋体" w:eastAsia="仿宋_GB2312"/>
          <w:i/>
          <w:color w:val="FF0000"/>
          <w:sz w:val="28"/>
          <w:szCs w:val="28"/>
        </w:rPr>
        <w:t>（附件2）</w:t>
      </w:r>
      <w:r>
        <w:rPr>
          <w:rFonts w:hint="eastAsia" w:ascii="仿宋_GB2312" w:hAnsi="宋体" w:eastAsia="仿宋_GB2312"/>
          <w:color w:val="FF0000"/>
          <w:sz w:val="28"/>
          <w:szCs w:val="28"/>
        </w:rPr>
        <w:t>；</w:t>
      </w:r>
      <w:r>
        <w:rPr>
          <w:rFonts w:cs="仿宋" w:asciiTheme="minorEastAsia" w:hAnsiTheme="minorEastAsia" w:eastAsiaTheme="minorEastAsia"/>
          <w:b/>
          <w:sz w:val="28"/>
          <w:szCs w:val="28"/>
        </w:rPr>
        <w:t xml:space="preserve"> </w:t>
      </w:r>
    </w:p>
    <w:p>
      <w:pPr>
        <w:spacing w:line="500" w:lineRule="exact"/>
        <w:ind w:firstLine="565" w:firstLineChars="202"/>
        <w:jc w:val="left"/>
        <w:rPr>
          <w:rFonts w:ascii="仿宋_GB2312" w:hAnsi="宋体" w:eastAsia="仿宋_GB2312"/>
          <w:color w:val="FF0000"/>
          <w:sz w:val="28"/>
          <w:szCs w:val="28"/>
        </w:rPr>
      </w:pPr>
      <w:r>
        <w:rPr>
          <w:rFonts w:hint="eastAsia" w:ascii="仿宋_GB2312" w:hAnsi="宋体" w:eastAsia="仿宋_GB2312"/>
          <w:sz w:val="28"/>
          <w:szCs w:val="28"/>
        </w:rPr>
        <w:t>9、其他需要提供的相关专业文件材料。</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29</w:t>
      </w:r>
      <w:bookmarkStart w:id="0" w:name="_GoBack"/>
      <w:bookmarkEnd w:id="0"/>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lang w:val="en-US" w:eastAsia="zh-CN"/>
        </w:rPr>
        <w:t>电子采购招标平台</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highlight w:val="yellow"/>
        </w:rPr>
        <w:t>蒙牛集团电子采购招标平台</w:t>
      </w:r>
      <w:r>
        <w:rPr>
          <w:rFonts w:hint="eastAsia" w:ascii="仿宋_GB2312" w:hAnsi="宋体" w:eastAsia="仿宋_GB2312"/>
          <w:color w:val="000000"/>
          <w:sz w:val="24"/>
          <w:szCs w:val="28"/>
          <w:highlight w:val="yellow"/>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highlight w:val="yellow"/>
        </w:rPr>
        <w:t>https://zbcg.mengniu.cn/#/home</w:t>
      </w:r>
      <w:r>
        <w:rPr>
          <w:rFonts w:hint="eastAsia" w:ascii="仿宋_GB2312" w:hAnsi="宋体" w:eastAsia="仿宋_GB2312"/>
          <w:color w:val="000000"/>
          <w:sz w:val="24"/>
          <w:szCs w:val="28"/>
          <w:highlight w:val="yellow"/>
        </w:rPr>
        <w:fldChar w:fldCharType="end"/>
      </w:r>
      <w:r>
        <w:rPr>
          <w:rFonts w:ascii="仿宋_GB2312" w:hAnsi="宋体" w:eastAsia="仿宋_GB2312"/>
          <w:color w:val="000000"/>
          <w:sz w:val="24"/>
          <w:szCs w:val="28"/>
          <w:highlight w:val="yellow"/>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ascii="仿宋_GB2312" w:hAnsi="宋体" w:eastAsia="仿宋_GB2312"/>
          <w:color w:val="FF0000"/>
          <w:sz w:val="28"/>
          <w:szCs w:val="28"/>
        </w:rPr>
        <w:t>或按需增加相关行业权威网</w:t>
      </w:r>
      <w:r>
        <w:rPr>
          <w:rFonts w:hint="eastAsia" w:ascii="仿宋_GB2312" w:hAnsi="宋体" w:eastAsia="仿宋_GB2312"/>
          <w:color w:val="FF0000"/>
          <w:sz w:val="28"/>
          <w:szCs w:val="28"/>
        </w:rPr>
        <w:t>站，受资源限制的项目可直接向经评估的供应渠道发出采招信息。</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采购方：蒙牛高科乳制品(北京)有限责任公司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孙建元</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17804819884</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hint="eastAsia" w:ascii="仿宋_GB2312" w:hAnsi="宋体" w:eastAsia="仿宋_GB2312"/>
          <w:sz w:val="28"/>
          <w:szCs w:val="28"/>
          <w:lang w:val="en-US" w:eastAsia="zh-CN"/>
        </w:rPr>
        <w:t>白雪晶</w:t>
      </w:r>
      <w:r>
        <w:rPr>
          <w:rFonts w:ascii="仿宋_GB2312" w:hAnsi="宋体" w:eastAsia="仿宋_GB2312"/>
          <w:sz w:val="28"/>
          <w:szCs w:val="28"/>
        </w:rPr>
        <w:t xml:space="preserve">                       </w:t>
      </w:r>
    </w:p>
    <w:p>
      <w:pPr>
        <w:ind w:firstLine="560" w:firstLineChars="200"/>
        <w:rPr>
          <w:rFonts w:ascii="仿宋" w:hAnsi="仿宋" w:eastAsia="仿宋"/>
          <w:sz w:val="28"/>
          <w:szCs w:val="28"/>
          <w:highlight w:val="yellow"/>
        </w:rPr>
      </w:pPr>
      <w:r>
        <w:rPr>
          <w:rFonts w:hint="eastAsia" w:ascii="仿宋" w:hAnsi="仿宋" w:eastAsia="仿宋"/>
          <w:sz w:val="28"/>
          <w:szCs w:val="28"/>
          <w:highlight w:val="yellow"/>
        </w:rPr>
        <w:t>联系电话：</w:t>
      </w:r>
      <w:r>
        <w:rPr>
          <w:rFonts w:ascii="仿宋" w:hAnsi="仿宋" w:eastAsia="仿宋"/>
          <w:sz w:val="28"/>
          <w:szCs w:val="28"/>
          <w:highlight w:val="yellow"/>
        </w:rPr>
        <w:t>0471</w:t>
      </w:r>
      <w:r>
        <w:rPr>
          <w:rFonts w:hint="eastAsia" w:ascii="仿宋" w:hAnsi="仿宋" w:eastAsia="仿宋"/>
          <w:sz w:val="28"/>
          <w:szCs w:val="28"/>
          <w:highlight w:val="yellow"/>
        </w:rPr>
        <w:t>-</w:t>
      </w:r>
      <w:r>
        <w:rPr>
          <w:rFonts w:ascii="仿宋" w:hAnsi="仿宋" w:eastAsia="仿宋"/>
          <w:sz w:val="28"/>
          <w:szCs w:val="28"/>
          <w:highlight w:val="yellow"/>
        </w:rPr>
        <w:t>7393642</w:t>
      </w:r>
    </w:p>
    <w:p>
      <w:pPr>
        <w:ind w:firstLine="560" w:firstLineChars="200"/>
        <w:rPr>
          <w:rFonts w:ascii="仿宋" w:hAnsi="仿宋" w:eastAsia="仿宋"/>
          <w:sz w:val="28"/>
          <w:szCs w:val="28"/>
        </w:rPr>
      </w:pPr>
      <w:r>
        <w:rPr>
          <w:rFonts w:hint="eastAsia" w:ascii="仿宋" w:hAnsi="仿宋" w:eastAsia="仿宋"/>
          <w:color w:val="FF0000"/>
          <w:sz w:val="28"/>
          <w:szCs w:val="28"/>
          <w:highlight w:val="yellow"/>
        </w:rPr>
        <w:t>电子邮件：baixuejing@mengniu.cn</w:t>
      </w:r>
    </w:p>
    <w:p>
      <w:pPr>
        <w:ind w:firstLine="560" w:firstLineChars="200"/>
        <w:jc w:val="left"/>
        <w:rPr>
          <w:rFonts w:ascii="仿宋" w:hAnsi="仿宋" w:eastAsia="仿宋" w:cs="仿宋"/>
          <w:sz w:val="28"/>
          <w:szCs w:val="28"/>
        </w:rPr>
      </w:pPr>
      <w:r>
        <w:rPr>
          <w:rFonts w:hint="eastAsia" w:ascii="仿宋" w:hAnsi="仿宋" w:eastAsia="仿宋"/>
          <w:color w:val="FF0000"/>
          <w:sz w:val="28"/>
          <w:szCs w:val="28"/>
          <w:highlight w:val="yellow"/>
        </w:rPr>
        <w:t>质疑/投诉服务网址</w:t>
      </w:r>
      <w:r>
        <w:rPr>
          <w:rFonts w:hint="eastAsia" w:ascii="仿宋" w:hAnsi="仿宋" w:eastAsia="仿宋"/>
          <w:color w:val="FF0000"/>
          <w:sz w:val="32"/>
          <w:szCs w:val="28"/>
          <w:highlight w:val="yellow"/>
        </w:rPr>
        <w:t>：</w:t>
      </w:r>
      <w:r>
        <w:fldChar w:fldCharType="begin"/>
      </w:r>
      <w:r>
        <w:instrText xml:space="preserve"> HYPERLINK "https://zbcg.mengniu.cn/" \l "/home" \t "_blank" </w:instrText>
      </w:r>
      <w:r>
        <w:fldChar w:fldCharType="separate"/>
      </w:r>
      <w:r>
        <w:rPr>
          <w:rStyle w:val="10"/>
          <w:rFonts w:hint="eastAsia" w:ascii="微软雅黑" w:hAnsi="微软雅黑" w:eastAsia="微软雅黑"/>
          <w:sz w:val="22"/>
          <w:szCs w:val="21"/>
          <w:highlight w:val="yellow"/>
          <w:shd w:val="clear" w:color="auto" w:fill="FFFFFF"/>
        </w:rPr>
        <w:t>https://zbcg.mengniu.cn/#/home</w:t>
      </w:r>
      <w:r>
        <w:rPr>
          <w:rStyle w:val="10"/>
          <w:rFonts w:hint="eastAsia" w:ascii="微软雅黑" w:hAnsi="微软雅黑" w:eastAsia="微软雅黑"/>
          <w:sz w:val="22"/>
          <w:szCs w:val="21"/>
          <w:highlight w:val="yellow"/>
          <w:shd w:val="clear" w:color="auto" w:fill="FFFFFF"/>
        </w:rPr>
        <w:fldChar w:fldCharType="end"/>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firstLine="560" w:firstLineChars="200"/>
        <w:jc w:val="left"/>
        <w:rPr>
          <w:rFonts w:ascii="仿宋_GB2312" w:hAnsi="宋体" w:eastAsia="仿宋_GB2312" w:cs="仿宋"/>
          <w:sz w:val="28"/>
          <w:szCs w:val="28"/>
        </w:rPr>
      </w:pPr>
    </w:p>
    <w:p>
      <w:pPr>
        <w:keepNext w:val="0"/>
        <w:keepLines w:val="0"/>
        <w:pageBreakBefore w:val="0"/>
        <w:widowControl w:val="0"/>
        <w:kinsoku/>
        <w:wordWrap/>
        <w:overflowPunct/>
        <w:topLinePunct w:val="0"/>
        <w:autoSpaceDE/>
        <w:autoSpaceDN/>
        <w:bidi w:val="0"/>
        <w:adjustRightInd/>
        <w:snapToGrid/>
        <w:ind w:right="0"/>
        <w:jc w:val="right"/>
        <w:textAlignment w:val="auto"/>
        <w:rPr>
          <w:rFonts w:hint="eastAsia" w:ascii="仿宋_GB2312" w:hAnsi="宋体" w:eastAsia="仿宋_GB2312" w:cs="仿宋"/>
          <w:sz w:val="30"/>
          <w:szCs w:val="30"/>
          <w:lang w:val="en-US" w:eastAsia="zh-CN"/>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cs="仿宋"/>
          <w:sz w:val="30"/>
          <w:szCs w:val="30"/>
          <w:lang w:eastAsia="zh-CN"/>
        </w:rPr>
        <w:t>：</w:t>
      </w:r>
      <w:r>
        <w:rPr>
          <w:rFonts w:hint="eastAsia" w:ascii="仿宋_GB2312" w:hAnsi="宋体" w:eastAsia="仿宋_GB2312" w:cs="仿宋"/>
          <w:sz w:val="30"/>
          <w:szCs w:val="30"/>
        </w:rPr>
        <w:t>蒙牛高科乳制品(北京)有限责任公司</w:t>
      </w:r>
    </w:p>
    <w:p>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5</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both"/>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widowControl/>
        <w:adjustRightInd w:val="0"/>
        <w:snapToGrid w:val="0"/>
        <w:spacing w:line="440" w:lineRule="exact"/>
        <w:jc w:val="left"/>
        <w:textAlignment w:val="baseline"/>
        <w:rPr>
          <w:rFonts w:hint="eastAsia" w:ascii="楷体_GB2312" w:hAnsi="黑体" w:eastAsia="楷体_GB2312"/>
          <w:color w:val="000000"/>
          <w:kern w:val="0"/>
          <w:sz w:val="28"/>
          <w:szCs w:val="28"/>
          <w:lang w:eastAsia="zh-CN"/>
        </w:rPr>
      </w:pPr>
      <w:r>
        <w:rPr>
          <w:rFonts w:hint="eastAsia" w:ascii="楷体_GB2312" w:hAnsi="黑体" w:eastAsia="楷体_GB2312"/>
          <w:color w:val="000000"/>
          <w:kern w:val="0"/>
          <w:sz w:val="28"/>
          <w:szCs w:val="28"/>
        </w:rPr>
        <w:t>甲方：</w:t>
      </w:r>
      <w:r>
        <w:rPr>
          <w:rFonts w:hint="eastAsia" w:ascii="仿宋_GB2312" w:hAnsi="宋体" w:eastAsia="仿宋_GB2312" w:cs="仿宋"/>
          <w:sz w:val="30"/>
          <w:szCs w:val="30"/>
          <w:lang w:val="en-US" w:eastAsia="zh-CN"/>
        </w:rPr>
        <w:t>蒙牛</w:t>
      </w:r>
      <w:r>
        <w:rPr>
          <w:rFonts w:hint="eastAsia" w:ascii="仿宋_GB2312" w:hAnsi="宋体" w:eastAsia="仿宋_GB2312" w:cs="仿宋"/>
          <w:sz w:val="30"/>
          <w:szCs w:val="30"/>
        </w:rPr>
        <w:t>高科乳制品(北京)有限责任公司</w:t>
      </w:r>
    </w:p>
    <w:p>
      <w:pPr>
        <w:widowControl/>
        <w:adjustRightInd w:val="0"/>
        <w:snapToGrid w:val="0"/>
        <w:spacing w:line="440" w:lineRule="exact"/>
        <w:jc w:val="left"/>
        <w:textAlignment w:val="baseline"/>
        <w:rPr>
          <w:rFonts w:hint="eastAsia" w:ascii="仿宋_GB2312" w:hAnsi="宋体" w:eastAsia="仿宋_GB2312" w:cs="仿宋"/>
          <w:sz w:val="30"/>
          <w:szCs w:val="30"/>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r>
        <w:rPr>
          <w:rFonts w:hint="eastAsia" w:ascii="仿宋_GB2312" w:hAnsi="宋体" w:eastAsia="仿宋_GB2312" w:cs="仿宋"/>
          <w:sz w:val="30"/>
          <w:szCs w:val="30"/>
        </w:rPr>
        <w:t>北京市通州区食品工业园区一区1号北侧</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lang w:val="en-US" w:eastAsia="zh-CN"/>
        </w:rPr>
        <w:t>洗碗机专用清洗剂</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ascii="楷体_GB2312" w:hAnsi="宋体" w:eastAsia="楷体_GB2312"/>
          <w:color w:val="000000"/>
          <w:kern w:val="0"/>
          <w:sz w:val="28"/>
          <w:szCs w:val="28"/>
          <w:u w:val="single"/>
        </w:rPr>
        <w:t xml:space="preserve"> 1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二 】</w:t>
      </w:r>
      <w:r>
        <w:rPr>
          <w:rFonts w:hint="eastAsia" w:ascii="楷体_GB2312" w:hAnsi="宋体" w:eastAsia="楷体_GB2312"/>
          <w:color w:val="000000"/>
          <w:kern w:val="0"/>
          <w:sz w:val="28"/>
          <w:szCs w:val="28"/>
        </w:rPr>
        <w:t>种方式解决：</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hint="eastAsia" w:ascii="楷体_GB2312" w:hAnsi="宋体" w:eastAsia="楷体_GB2312"/>
          <w:b/>
          <w:bCs/>
          <w:sz w:val="28"/>
          <w:szCs w:val="28"/>
        </w:rPr>
      </w:pP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楷体_GB2312" w:hAnsi="宋体" w:eastAsia="楷体_GB2312"/>
          <w:sz w:val="28"/>
          <w:szCs w:val="28"/>
        </w:rPr>
      </w:pPr>
      <w:r>
        <w:rPr>
          <w:rFonts w:hint="eastAsia" w:ascii="仿宋_GB2312" w:hAnsi="宋体" w:eastAsia="仿宋_GB2312"/>
          <w:color w:val="000000"/>
          <w:kern w:val="0"/>
          <w:sz w:val="28"/>
          <w:szCs w:val="28"/>
        </w:rPr>
        <w:t>日期：</w:t>
      </w:r>
    </w:p>
    <w:p>
      <w:pPr>
        <w:spacing w:line="440" w:lineRule="exact"/>
        <w:ind w:left="4830" w:leftChars="2300" w:firstLine="700" w:firstLineChars="250"/>
      </w:pPr>
      <w:r>
        <w:rPr>
          <w:rFonts w:hint="eastAsia" w:ascii="楷体_GB2312" w:hAnsi="仿宋" w:eastAsia="楷体_GB2312"/>
          <w:sz w:val="28"/>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OWU3YjdhNmY2NGYxZmE1MDM5YzE3MDg2ODQ5OTk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0417F76"/>
    <w:rsid w:val="4BEC6DD7"/>
    <w:rsid w:val="6010470D"/>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5302</Words>
  <Characters>5613</Characters>
  <Lines>21</Lines>
  <Paragraphs>6</Paragraphs>
  <TotalTime>1</TotalTime>
  <ScaleCrop>false</ScaleCrop>
  <LinksUpToDate>false</LinksUpToDate>
  <CharactersWithSpaces>5931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天啊噜丶</cp:lastModifiedBy>
  <dcterms:modified xsi:type="dcterms:W3CDTF">2024-05-16T09:45:44Z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EC9BE5E0FD3940F380A86FE127E52FA6_12</vt:lpwstr>
  </property>
</Properties>
</file>