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sz w:val="30"/>
          <w:szCs w:val="30"/>
          <w:highlight w:val="none"/>
          <w:lang w:val="en-US" w:eastAsia="zh-CN"/>
        </w:rPr>
      </w:pPr>
      <w:r>
        <w:rPr>
          <w:rFonts w:hint="eastAsia" w:ascii="仿宋" w:hAnsi="仿宋" w:eastAsia="仿宋" w:cs="仿宋"/>
          <w:b/>
          <w:bCs/>
          <w:kern w:val="0"/>
          <w:sz w:val="30"/>
          <w:szCs w:val="30"/>
          <w:highlight w:val="none"/>
          <w:lang w:val="en-US" w:eastAsia="zh-CN"/>
        </w:rPr>
        <w:t>蒙牛乳业常温唐山工厂二期预处理车间排水系统维修项目</w:t>
      </w:r>
    </w:p>
    <w:p>
      <w:pPr>
        <w:widowControl/>
        <w:shd w:val="clear" w:color="auto" w:fill="FFFFFF"/>
        <w:snapToGrid w:val="0"/>
        <w:spacing w:line="360" w:lineRule="auto"/>
        <w:jc w:val="center"/>
        <w:rPr>
          <w:rFonts w:hint="eastAsia" w:ascii="仿宋" w:hAnsi="仿宋" w:eastAsia="仿宋" w:cs="仿宋"/>
          <w:b/>
          <w:bCs/>
          <w:color w:val="FF0000"/>
          <w:kern w:val="0"/>
          <w:sz w:val="24"/>
          <w:szCs w:val="24"/>
          <w:highlight w:val="none"/>
        </w:rPr>
      </w:pPr>
      <w:r>
        <w:rPr>
          <w:rFonts w:hint="eastAsia" w:ascii="仿宋" w:hAnsi="仿宋" w:eastAsia="仿宋" w:cs="仿宋"/>
          <w:b/>
          <w:bCs/>
          <w:kern w:val="0"/>
          <w:sz w:val="30"/>
          <w:szCs w:val="30"/>
          <w:highlight w:val="none"/>
        </w:rPr>
        <w:t>竞争性谈判信息公告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内蒙古华晟工程项目管理有限公司受</w:t>
      </w:r>
      <w:r>
        <w:rPr>
          <w:rFonts w:hint="eastAsia" w:ascii="仿宋" w:hAnsi="仿宋" w:eastAsia="仿宋" w:cs="仿宋"/>
          <w:sz w:val="24"/>
          <w:szCs w:val="24"/>
          <w:highlight w:val="none"/>
        </w:rPr>
        <w:t>内蒙古蒙牛乳业（集团）股份有限公司</w:t>
      </w:r>
      <w:r>
        <w:rPr>
          <w:rFonts w:hint="eastAsia" w:ascii="仿宋" w:hAnsi="仿宋" w:eastAsia="仿宋" w:cs="仿宋"/>
          <w:sz w:val="24"/>
          <w:szCs w:val="24"/>
          <w:highlight w:val="none"/>
          <w:lang w:val="en-US" w:eastAsia="zh-CN"/>
        </w:rPr>
        <w:t>委托，现对蒙牛乳业常温唐山工厂二期预处理车间排水系统维修项目</w:t>
      </w:r>
      <w:r>
        <w:rPr>
          <w:rFonts w:hint="eastAsia" w:ascii="仿宋" w:hAnsi="仿宋" w:eastAsia="仿宋" w:cs="仿宋"/>
          <w:sz w:val="24"/>
          <w:szCs w:val="24"/>
          <w:highlight w:val="none"/>
        </w:rPr>
        <w:t>进行竞争性谈判, 欢迎符合资格条件的</w:t>
      </w:r>
      <w:r>
        <w:rPr>
          <w:rFonts w:hint="eastAsia" w:ascii="仿宋" w:hAnsi="仿宋" w:eastAsia="仿宋" w:cs="仿宋"/>
          <w:sz w:val="24"/>
          <w:szCs w:val="24"/>
          <w:highlight w:val="none"/>
          <w:lang w:val="en-US" w:eastAsia="zh-CN"/>
        </w:rPr>
        <w:t>竞谈人</w:t>
      </w:r>
      <w:r>
        <w:rPr>
          <w:rFonts w:hint="eastAsia" w:ascii="仿宋" w:hAnsi="仿宋" w:eastAsia="仿宋" w:cs="仿宋"/>
          <w:sz w:val="24"/>
          <w:szCs w:val="24"/>
          <w:highlight w:val="none"/>
        </w:rPr>
        <w:t>参加。</w:t>
      </w:r>
    </w:p>
    <w:p>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一、项目编号：MNCGJH-20240428-0111</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rPr>
        <w:t>二、项目名称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蒙牛乳业常温唐山工厂二期预处理车间排水系统维修项目</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三、项目概况：</w:t>
      </w:r>
    </w:p>
    <w:p>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常温唐山工厂二期位于河北省唐山市丰润区奶业科技园区，其预处理车间原排水管道能力不足、排污管外漏，造成地下镂空。车间现有玻璃钢主排水管路破损，部分管道需要重新更换，并对新增排水支管道进行改造施工。</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四、资格要求：</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1、竞谈人必须是在中华人民共和国境内注册的具有独立法人资格的企事业单位，注册资金500万元及以上；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2、竞谈人须具有一般纳税人资格；</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3、竞谈人授权委托人须为本企业在职人员；</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竞谈人必须具有建设行政主管部门颁发的建筑工程施工总承包乙级及以上资质或市政公用工程施工总承包乙级及以上资质,证书在有效期内；（以上资质为住建部最新资质要求（2020年11月30日建市〔2020〕94号《住房和城乡建设部关于印发建设工程企业资质管理制度改革方案的通知》）。如竞谈人还未申办以上资质，竞谈人须具有建设行政主管部门颁发的建筑工程施工总承包三级及以上资质或市政公用工程施工总承包三级及以上资质，且资质证书在有效期内；</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5、竞谈人须具有有效的安全生产许可证；</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竞谈人拟派项目经理须为在本企业注册的建造师，具备二级注册建筑工程执业资格和有效的安全生产考核合格证书（须为项目负责人安全生产考核合格证，即“建安B”类证），在本企业工作担任项目经理岗位2年以上，并提供相应社保证明，且未在其他任何在建工程中任职；</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7、业绩要求：竞谈人须具有2021年1月1日至今至少两个类似项目业绩（以合同为准）；</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8、竞谈人须具有2020至2022年或2021至2023年第三方财务审计报告；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9、竞谈人未被列入国家企业信用信息公示系统（http://www.gsxt.gov.cn/index.html）严重违法失信企业名单；</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10、竞谈人在“中华人民共和国应急管理部（https://www.mem.gov.cn/）”近一年内无公开曝光的安全事件；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11、竞谈人严格执行国家有关安全生产的各项法律法规及行业管理条例，认真贯彻落实各项安全生产管理制度，近一年内，无安全生产失信行为和无被安全监督部门公开曝光的事件。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13、本项目不接受联合体投标，不允许分包或转包。</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14、不接受中粮及蒙牛供应商黑名单（以蒙牛集团采购执行管理部下发的黑名单为准）的企业参与竞争；</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15、竞谈人须符合蒙牛集团《承包商安全管理制度》审查要求。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FF0000"/>
          <w:sz w:val="24"/>
          <w:szCs w:val="24"/>
          <w:highlight w:val="none"/>
        </w:rPr>
      </w:pPr>
      <w:r>
        <w:rPr>
          <w:rFonts w:hint="eastAsia" w:ascii="仿宋" w:hAnsi="仿宋" w:eastAsia="仿宋" w:cs="仿宋"/>
          <w:b/>
          <w:color w:val="000000"/>
          <w:sz w:val="24"/>
          <w:szCs w:val="24"/>
          <w:highlight w:val="none"/>
        </w:rPr>
        <w:t>五、报名须知</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报名资格文件按照如下要求提供：</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（1）提供有效的营业执照；</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（3）提供一般纳税人资格证明材料；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提供建设行政主管部门颁发的建筑工程施工总承包乙级及以上资质或市政公用工程施工总承包乙级及以上资质,证书在有效期内；（以上资质为住建部最新资质要求（2020年11月30日建市〔2020〕94号《住房和城乡建设部关于印发建设工程企业资质管理制度改革方案的通知》）。如竞谈人还未申办以上资质，竞谈人须提供建设行政主管部门颁发的建筑工程施工总承包三级及</w:t>
      </w:r>
      <w:bookmarkStart w:id="1" w:name="_GoBack"/>
      <w:bookmarkEnd w:id="1"/>
      <w:r>
        <w:rPr>
          <w:rFonts w:hint="eastAsia" w:ascii="仿宋" w:hAnsi="仿宋" w:eastAsia="仿宋" w:cs="仿宋"/>
          <w:sz w:val="24"/>
          <w:szCs w:val="24"/>
          <w:highlight w:val="none"/>
          <w:lang w:val="en-US" w:eastAsia="zh-CN"/>
        </w:rPr>
        <w:t>以上资质或市政公用工程施工总承包三级及以上资质，且资质证书在有效期内。</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（5）提供有效的安全生产许可证；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拟派项目经理须为在本企业注册的建造师，具备二级注册建筑工程执业资格和有效的安全生产考核合格证书（须为项目负责人安全生产考核合格证，即“建安B”类证），在本企业工作担任项目经理岗位2年以上，并提供相应社保证明，且未在其他任何在建工程中任职；</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（7）提供近三年（2020至2022年或2021至2023年）经过第三方专业审计机构出具的财务审计报告；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（8）提供2021年1月1日至今至少两个类似项目业绩（以合同为准）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http://www.gsxt.gov.cn/index.html）严重违法失信企业名单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证明材料</w:t>
      </w:r>
      <w:r>
        <w:rPr>
          <w:rFonts w:hint="eastAsia" w:ascii="仿宋" w:hAnsi="仿宋" w:eastAsia="仿宋" w:cs="仿宋"/>
          <w:sz w:val="24"/>
          <w:szCs w:val="24"/>
          <w:highlight w:val="none"/>
        </w:rPr>
        <w:t>。</w:t>
      </w:r>
    </w:p>
    <w:p>
      <w:pPr>
        <w:pStyle w:val="16"/>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sz w:val="24"/>
          <w:szCs w:val="24"/>
          <w:highlight w:val="none"/>
          <w:lang w:val="en-US" w:eastAsia="zh-CN"/>
        </w:rPr>
        <w:t>提供“中华人民共和国应急管理部（https://www.mem.gov.cn/）”近一年内无公开曝光的安全事件证明材料；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（11）提供安全生产承诺书</w:t>
      </w: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（12）提供</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r>
        <w:rPr>
          <w:rFonts w:hint="eastAsia" w:ascii="仿宋" w:hAnsi="仿宋" w:eastAsia="仿宋" w:cs="仿宋"/>
          <w:sz w:val="24"/>
          <w:szCs w:val="24"/>
          <w:highlight w:val="none"/>
          <w:lang w:val="en-US" w:eastAsia="zh-CN"/>
        </w:rPr>
        <w:t>（附件1）。</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highlight w:val="none"/>
          <w:lang w:val="en-US" w:eastAsia="zh-CN"/>
        </w:rPr>
        <w:t>“蒙牛集团电子采购招标平台（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"https://zbcg.mengniu.cn/" \l "/home" \t "_blank"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https://zbcg.mengniu.cn/#/home</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w:t>
      </w:r>
      <w:bookmarkEnd w:id="0"/>
      <w:r>
        <w:rPr>
          <w:rFonts w:hint="eastAsia" w:ascii="仿宋" w:hAnsi="仿宋" w:eastAsia="仿宋" w:cs="仿宋"/>
          <w:sz w:val="24"/>
          <w:szCs w:val="24"/>
          <w:highlight w:val="none"/>
          <w:lang w:val="en-US" w:eastAsia="zh-CN"/>
        </w:rPr>
        <w:t>进行线上提交，进行资格审查（过期提交不予受理），审查合格后方可购买招标文件（仅作为发放招标文件的依据）。</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资料提供不全或模糊不清或未按时间要求提报的将被拒绝接收，所提供的资质、业绩文件中如有虚假情况，一经发现将被取消竞谈资格。</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2、报名方式：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六、项目时间安排及要求：</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1、报名时间：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0时</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24时</w:t>
      </w:r>
      <w:r>
        <w:rPr>
          <w:rFonts w:hint="eastAsia" w:ascii="仿宋" w:hAnsi="仿宋" w:eastAsia="仿宋" w:cs="仿宋"/>
          <w:sz w:val="24"/>
          <w:szCs w:val="24"/>
          <w:highlight w:val="none"/>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2、资格预审时间：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9时至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12时</w:t>
      </w:r>
      <w:r>
        <w:rPr>
          <w:rFonts w:hint="eastAsia" w:ascii="仿宋" w:hAnsi="仿宋" w:eastAsia="仿宋" w:cs="仿宋"/>
          <w:sz w:val="24"/>
          <w:szCs w:val="24"/>
          <w:highlight w:val="none"/>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文件发售时间：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0时</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24时</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4、谈判</w:t>
      </w:r>
      <w:r>
        <w:rPr>
          <w:rFonts w:hint="eastAsia" w:ascii="仿宋" w:hAnsi="仿宋" w:eastAsia="仿宋" w:cs="仿宋"/>
          <w:sz w:val="24"/>
          <w:szCs w:val="24"/>
          <w:highlight w:val="none"/>
        </w:rPr>
        <w:t>文件每套售价：人民币</w:t>
      </w:r>
      <w:r>
        <w:rPr>
          <w:rFonts w:hint="eastAsia" w:ascii="仿宋" w:hAnsi="仿宋" w:eastAsia="仿宋" w:cs="仿宋"/>
          <w:sz w:val="24"/>
          <w:szCs w:val="24"/>
          <w:highlight w:val="none"/>
          <w:u w:val="none"/>
          <w:lang w:val="en-US" w:eastAsia="zh-CN"/>
        </w:rPr>
        <w:t>500</w:t>
      </w:r>
      <w:r>
        <w:rPr>
          <w:rFonts w:hint="eastAsia" w:ascii="仿宋" w:hAnsi="仿宋" w:eastAsia="仿宋" w:cs="仿宋"/>
          <w:sz w:val="24"/>
          <w:szCs w:val="24"/>
          <w:highlight w:val="none"/>
        </w:rPr>
        <w:t>元，售后不退（汇款后将回执扫描后发联系人邮箱主题栏里写清楚项目名称）；</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具体打款信息如下：</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开户银行：兴业银行呼和浩特巨海城支行</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收款单位：内蒙古华晟工程项目管理有限公司和林格尔盛乐园区分公司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开户银行账号：592120100100098732</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开户银行行号：309191002120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开标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17</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rPr>
        <w:t>（以发出的</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文件为准）；</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szCs w:val="24"/>
          <w:highlight w:val="none"/>
        </w:rPr>
        <w:t>七、</w:t>
      </w:r>
      <w:r>
        <w:rPr>
          <w:rFonts w:hint="eastAsia" w:ascii="仿宋" w:hAnsi="仿宋" w:eastAsia="仿宋" w:cs="仿宋"/>
          <w:b/>
          <w:sz w:val="24"/>
          <w:szCs w:val="24"/>
          <w:highlight w:val="none"/>
          <w:lang w:val="en-US" w:eastAsia="zh-CN"/>
        </w:rPr>
        <w:t>开标地址</w:t>
      </w:r>
      <w:r>
        <w:rPr>
          <w:rFonts w:hint="eastAsia" w:ascii="仿宋" w:hAnsi="仿宋" w:eastAsia="仿宋" w:cs="仿宋"/>
          <w:b/>
          <w:sz w:val="24"/>
          <w:szCs w:val="24"/>
          <w:highlight w:val="none"/>
        </w:rPr>
        <w:t>：</w:t>
      </w:r>
      <w:r>
        <w:rPr>
          <w:rFonts w:hint="eastAsia" w:ascii="仿宋" w:hAnsi="仿宋" w:eastAsia="仿宋" w:cs="仿宋"/>
          <w:color w:val="000000"/>
          <w:sz w:val="24"/>
          <w:szCs w:val="24"/>
          <w:highlight w:val="none"/>
          <w:lang w:val="en-US" w:eastAsia="zh-CN"/>
        </w:rPr>
        <w:t>蒙牛集团电子采购招标平台（https://zbcg.mengniu.cn/）</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000000"/>
          <w:sz w:val="24"/>
          <w:szCs w:val="24"/>
          <w:highlight w:val="none"/>
        </w:rPr>
        <w:t>八、发布媒体：</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中国采购与招标网（http://www.chinabidding.com.cn）</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蒙牛官网（http://www.mengniu.com.cn）及蒙牛内部平台</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中国招标投标公共服务平台（http://www.cebpubservice.com/）</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蒙牛集团电子招标采购交易平台（</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https://zbcg.mengniu.cn）</w:t>
      </w:r>
      <w:r>
        <w:rPr>
          <w:rFonts w:hint="eastAsia" w:ascii="仿宋" w:hAnsi="仿宋" w:eastAsia="仿宋" w:cs="仿宋"/>
          <w:color w:val="000000"/>
          <w:sz w:val="24"/>
          <w:szCs w:val="24"/>
          <w:highlight w:val="none"/>
        </w:rPr>
        <w:fldChar w:fldCharType="end"/>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此公告只在以上平台发布，其他任何媒体转载无效。</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九、采购招标实施方及联系方式：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采购方：内蒙古蒙牛乳业（集团）股份有限公司</w:t>
      </w:r>
    </w:p>
    <w:p>
      <w:pPr>
        <w:pStyle w:val="11"/>
        <w:keepNext w:val="0"/>
        <w:keepLines w:val="0"/>
        <w:widowControl/>
        <w:suppressLineNumbers w:val="0"/>
        <w:spacing w:before="0" w:beforeAutospacing="0" w:after="0" w:afterAutospacing="0" w:line="360" w:lineRule="auto"/>
        <w:ind w:left="0" w:firstLine="480"/>
        <w:jc w:val="left"/>
        <w:rPr>
          <w:highlight w:val="none"/>
        </w:rPr>
      </w:pPr>
      <w:r>
        <w:rPr>
          <w:rFonts w:ascii="仿宋" w:hAnsi="仿宋" w:eastAsia="仿宋" w:cs="仿宋"/>
          <w:sz w:val="24"/>
          <w:szCs w:val="24"/>
          <w:highlight w:val="none"/>
        </w:rPr>
        <w:t>业务咨询联系人：张嘉馨                  </w:t>
      </w:r>
    </w:p>
    <w:p>
      <w:pPr>
        <w:pStyle w:val="11"/>
        <w:keepNext w:val="0"/>
        <w:keepLines w:val="0"/>
        <w:widowControl/>
        <w:suppressLineNumbers w:val="0"/>
        <w:spacing w:before="0" w:beforeAutospacing="0" w:after="0" w:afterAutospacing="0" w:line="360" w:lineRule="auto"/>
        <w:ind w:left="0" w:firstLine="480"/>
        <w:jc w:val="left"/>
        <w:rPr>
          <w:highlight w:val="none"/>
        </w:rPr>
      </w:pPr>
      <w:r>
        <w:rPr>
          <w:rFonts w:hint="eastAsia" w:ascii="仿宋" w:hAnsi="仿宋" w:eastAsia="仿宋" w:cs="仿宋"/>
          <w:sz w:val="24"/>
          <w:szCs w:val="24"/>
          <w:highlight w:val="none"/>
        </w:rPr>
        <w:t>联系方式：15148996062</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、代理机构及联系方式：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招标代理机构：内蒙古华晟工程项目管理有限公司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报名联系人：赵慧峰：18647138769  </w:t>
      </w:r>
      <w:r>
        <w:rPr>
          <w:rFonts w:hint="eastAsia" w:ascii="仿宋" w:hAnsi="仿宋" w:eastAsia="仿宋" w:cs="仿宋"/>
          <w:sz w:val="24"/>
          <w:szCs w:val="24"/>
          <w:highlight w:val="none"/>
          <w:lang w:val="en-US" w:eastAsia="zh-CN"/>
        </w:rPr>
        <w:t>丁桠楠</w:t>
      </w: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47</w:t>
      </w:r>
      <w:r>
        <w:rPr>
          <w:rFonts w:hint="eastAsia" w:ascii="仿宋" w:hAnsi="仿宋" w:eastAsia="仿宋" w:cs="仿宋"/>
          <w:sz w:val="24"/>
          <w:szCs w:val="24"/>
          <w:highlight w:val="none"/>
          <w:lang w:val="en-US" w:eastAsia="zh-CN"/>
        </w:rPr>
        <w:t>197935、王子刚</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联系电话：0471-3957849/4918085分机号80</w:t>
      </w:r>
      <w:r>
        <w:rPr>
          <w:rFonts w:hint="eastAsia" w:ascii="仿宋" w:hAnsi="仿宋" w:eastAsia="仿宋" w:cs="仿宋"/>
          <w:sz w:val="24"/>
          <w:szCs w:val="24"/>
          <w:highlight w:val="none"/>
          <w:lang w:val="en-US" w:eastAsia="zh-CN"/>
        </w:rPr>
        <w:t>00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电子邮箱：zhaohuifeng@nmghuasheng.com</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联系地址：内蒙古呼和浩特市赛罕区锡林南路盈嘉国际综合楼27层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、监督单位及联系方式：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监督单位：内蒙古蒙牛乳业（集团）股份有限公司招投标管理部</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 督 人:</w:t>
      </w:r>
      <w:r>
        <w:rPr>
          <w:rFonts w:hint="eastAsia" w:ascii="仿宋" w:hAnsi="仿宋" w:eastAsia="仿宋" w:cs="仿宋"/>
          <w:sz w:val="24"/>
          <w:szCs w:val="24"/>
          <w:highlight w:val="none"/>
          <w:lang w:val="en-US" w:eastAsia="zh-CN"/>
        </w:rPr>
        <w:t>郑建东</w:t>
      </w: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0471-7393642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150</w:t>
      </w:r>
      <w:r>
        <w:rPr>
          <w:rFonts w:hint="eastAsia" w:ascii="仿宋" w:hAnsi="仿宋" w:eastAsia="仿宋" w:cs="仿宋"/>
          <w:sz w:val="24"/>
          <w:szCs w:val="24"/>
          <w:highlight w:val="none"/>
          <w:lang w:val="en-US" w:eastAsia="zh-CN"/>
        </w:rPr>
        <w:t>34927966</w:t>
      </w:r>
    </w:p>
    <w:p>
      <w:pPr>
        <w:pStyle w:val="16"/>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电子邮件：</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"mailto:xuehaiyan@mengniu.cn" </w:instrText>
      </w:r>
      <w:r>
        <w:rPr>
          <w:rFonts w:hint="eastAsia" w:ascii="仿宋" w:hAnsi="仿宋" w:eastAsia="仿宋" w:cs="仿宋"/>
          <w:sz w:val="24"/>
          <w:szCs w:val="24"/>
          <w:highlight w:val="none"/>
          <w:lang w:val="en-US" w:eastAsia="zh-CN"/>
        </w:rPr>
        <w:fldChar w:fldCharType="separate"/>
      </w:r>
      <w:r>
        <w:rPr>
          <w:rStyle w:val="15"/>
          <w:rFonts w:hint="eastAsia" w:ascii="仿宋" w:hAnsi="仿宋" w:eastAsia="仿宋" w:cs="仿宋"/>
          <w:sz w:val="24"/>
          <w:szCs w:val="24"/>
          <w:highlight w:val="none"/>
          <w:lang w:val="en-US" w:eastAsia="zh-CN"/>
        </w:rPr>
        <w:t>zhengjiandong@mengniu.cn</w:t>
      </w:r>
      <w:r>
        <w:rPr>
          <w:rFonts w:hint="eastAsia" w:ascii="仿宋" w:hAnsi="仿宋" w:eastAsia="仿宋" w:cs="仿宋"/>
          <w:sz w:val="24"/>
          <w:szCs w:val="24"/>
          <w:highlight w:val="none"/>
          <w:lang w:val="en-US" w:eastAsia="zh-CN"/>
        </w:rPr>
        <w:fldChar w:fldCharType="end"/>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异议/投诉服务网址：</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"https://zbcg.mengniu.cn/" \l "/home"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https://zbcg.mengniu.cn/#/home</w:t>
      </w:r>
      <w:r>
        <w:rPr>
          <w:rFonts w:hint="eastAsia" w:ascii="仿宋" w:hAnsi="仿宋" w:eastAsia="仿宋" w:cs="仿宋"/>
          <w:sz w:val="24"/>
          <w:szCs w:val="24"/>
          <w:highlight w:val="none"/>
        </w:rPr>
        <w:fldChar w:fldCharType="end"/>
      </w:r>
    </w:p>
    <w:p>
      <w:pPr>
        <w:pStyle w:val="16"/>
        <w:spacing w:line="360" w:lineRule="auto"/>
        <w:ind w:firstLine="480" w:firstLineChars="200"/>
        <w:rPr>
          <w:rFonts w:hint="eastAsia" w:ascii="仿宋" w:hAnsi="仿宋" w:eastAsia="仿宋" w:cs="仿宋"/>
          <w:sz w:val="24"/>
          <w:szCs w:val="24"/>
          <w:highlight w:val="none"/>
          <w:lang w:val="en-US" w:eastAsia="zh-CN"/>
        </w:rPr>
      </w:pPr>
    </w:p>
    <w:p>
      <w:pPr>
        <w:pStyle w:val="20"/>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p>
    <w:p>
      <w:pPr>
        <w:pStyle w:val="16"/>
        <w:keepNext w:val="0"/>
        <w:keepLines w:val="0"/>
        <w:pageBreakBefore w:val="0"/>
        <w:kinsoku/>
        <w:overflowPunct/>
        <w:topLinePunct w:val="0"/>
        <w:bidi w:val="0"/>
        <w:spacing w:line="360" w:lineRule="auto"/>
        <w:ind w:left="0" w:leftChars="0"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2.安全生产承诺书</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3.MN_SRM_用户操作手册_供应商管理 V1.1 - 供应商注册及信息修改操作指南</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4.供应商入库-登录-参与项目-报名等流程说明</w:t>
      </w:r>
    </w:p>
    <w:p>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000000"/>
          <w:sz w:val="24"/>
          <w:szCs w:val="24"/>
          <w:highlight w:val="none"/>
        </w:rPr>
      </w:pP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内蒙古华晟工程项目管理有限公司</w:t>
      </w: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rPr>
        <w:t>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keepNext w:val="0"/>
        <w:keepLines w:val="0"/>
        <w:pageBreakBefore w:val="0"/>
        <w:kinsoku/>
        <w:wordWrap/>
        <w:overflowPunct/>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w:t>
      </w:r>
    </w:p>
    <w:p>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保密承诺书</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甲方：内蒙古蒙牛乳业(集团)股份有限公司</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w:t>
      </w:r>
    </w:p>
    <w:p>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甲乙双方就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一、定义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（一）由乙方以书面文件证明：该等信息已于披露之前已由乙方所持有；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（二）已公开发表或非因乙方作为或不作为的原因，已向公众披露；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（三）已由甲方书面同意乙方公开；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（四）由乙方在未使用该等机密信息的情形下独立开发；</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（五）乙方从第三方处合法、正当地取得，且该第三方对该等机密信息不承担保密义务。</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二、保密</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四、强制性披露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五、返还资料</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highlight w:val="none"/>
          <w:u w:val="single"/>
          <w:lang w:val="en-US" w:eastAsia="zh-CN"/>
        </w:rPr>
        <w:t xml:space="preserve"> 5 </w:t>
      </w:r>
      <w:r>
        <w:rPr>
          <w:rFonts w:hint="eastAsia" w:ascii="仿宋" w:hAnsi="仿宋" w:eastAsia="仿宋" w:cs="仿宋"/>
          <w:color w:val="000000"/>
          <w:sz w:val="24"/>
          <w:szCs w:val="24"/>
          <w:highlight w:val="none"/>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六、非授权许可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七、义务限定</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八、信息准确性</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九、期限</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本承诺书中乙方之保密义务应自乙方收到机密信息之日起</w:t>
      </w:r>
      <w:r>
        <w:rPr>
          <w:rFonts w:hint="eastAsia" w:ascii="仿宋" w:hAnsi="仿宋" w:eastAsia="仿宋" w:cs="仿宋"/>
          <w:color w:val="000000"/>
          <w:sz w:val="24"/>
          <w:szCs w:val="24"/>
          <w:highlight w:val="none"/>
          <w:u w:val="single"/>
          <w:lang w:val="en-US" w:eastAsia="zh-CN"/>
        </w:rPr>
        <w:t xml:space="preserve"> 5 </w:t>
      </w:r>
      <w:r>
        <w:rPr>
          <w:rFonts w:hint="eastAsia" w:ascii="仿宋" w:hAnsi="仿宋" w:eastAsia="仿宋" w:cs="仿宋"/>
          <w:color w:val="000000"/>
          <w:sz w:val="24"/>
          <w:szCs w:val="24"/>
          <w:highlight w:val="none"/>
          <w:lang w:val="en-US" w:eastAsia="zh-CN"/>
        </w:rPr>
        <w:t>年内持续有效，且不因承诺书目的之达成而终止。</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十、补充条款</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（一）合规条款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2、履约行为合规承诺：乙方承诺具有履行本承诺书约定的能力，且履行行为符合现行法律法规等规范性文件的要求。</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4、合规检查：乙方应积极配合甲方的合规检查，理解并接受甲方对乙方的合规管理要求，同意配合合规检查，并不得隐瞒任何可能对甲方利益造成影响的信息。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5、劳动用工: 乙方承诺不雇佣、使用童工，保障其员工的劳动合法权益，不纵容、支持、实施歧视、威胁员工的行为或发布相关言论。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7、严格约束乙方员工及其代理人：乙方承诺严格遵守合规承诺条款，若乙方员工及乙方的代理人或代理机构违反相关承诺即视为乙方违反。</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10、责任承担：如果乙方违反前述合规承诺条款，甲方有权要求乙方承担因此而给甲方造成的全部损失。</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11、适用原则：本承诺书中合规条款对乙方的要求与承诺书中其他条款不一致的，以对乙方要求更高的条款为准。</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（二）环境保护</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（三）附件法律效力条款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本着接受法律上之约束的意向，双方特此同意本承诺书全部附录、附件等均为本承诺书不可分割的部分，共同构成双方就达成的全部承诺书，与本承诺书具有同等法律效力。</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十一、适用法律</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本承诺书适用中华人民共和国法律，因本承诺书引起或与本承诺书有关的任何争议，应由双方友好协商解决，协商不成的，双方同意选择第【二】种方式解决：</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（一）向呼和浩特仲裁委员会申请仲裁。因仲裁产生的包括但不限于仲裁费、律师费、调查费、差旅费等，由乙方承担。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（二）向甲方所在地有管辖权的人民法院提起诉讼。因诉讼产生的包括但不限于诉讼费、律师费、调查费、差旅费等，由乙方承担。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十二、违约责任及救济</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如果乙方违反本承诺书的任何规定情形,则甲方有权将乙方拉入蒙牛供应商黑名单，乙方应积极配合甲方在10个工作日内收回已经泄露的信息。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十三、生效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本承诺书经乙方签字盖章之日起生效。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（以下无正文）                          </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代表人：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日期：</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lang w:val="en-US" w:eastAsia="zh-CN"/>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highlight w:val="none"/>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kern w:val="0"/>
          <w:sz w:val="24"/>
          <w:szCs w:val="24"/>
          <w:highlight w:val="none"/>
          <w:lang w:val="en-US" w:eastAsia="zh-CN"/>
        </w:rPr>
      </w:pPr>
      <w:r>
        <w:rPr>
          <w:rFonts w:hint="eastAsia" w:ascii="仿宋" w:hAnsi="仿宋" w:eastAsia="仿宋" w:cs="仿宋"/>
          <w:sz w:val="24"/>
          <w:szCs w:val="24"/>
          <w:highlight w:val="none"/>
          <w:lang w:val="en-US" w:eastAsia="zh-CN"/>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安全生产承诺书</w:t>
      </w:r>
    </w:p>
    <w:p>
      <w:pPr>
        <w:pStyle w:val="16"/>
        <w:keepNext w:val="0"/>
        <w:keepLines w:val="0"/>
        <w:pageBreakBefore w:val="0"/>
        <w:kinsoku/>
        <w:overflowPunct/>
        <w:topLinePunct w:val="0"/>
        <w:bidi w:val="0"/>
        <w:spacing w:line="360" w:lineRule="auto"/>
        <w:ind w:left="0" w:leftChars="0" w:firstLine="480" w:firstLineChars="200"/>
        <w:rPr>
          <w:rFonts w:hint="eastAsia"/>
          <w:sz w:val="24"/>
          <w:szCs w:val="24"/>
          <w:highlight w:val="none"/>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内蒙古蒙牛乳业（集团）股份有限公司</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rPr>
        <w:t>我公司郑重承诺：我公司在经营期间，</w:t>
      </w:r>
      <w:r>
        <w:rPr>
          <w:rFonts w:hint="eastAsia" w:ascii="仿宋" w:hAnsi="仿宋" w:eastAsia="仿宋" w:cs="仿宋"/>
          <w:sz w:val="24"/>
          <w:szCs w:val="24"/>
          <w:highlight w:val="none"/>
          <w:lang w:val="en-US" w:eastAsia="zh-CN"/>
        </w:rPr>
        <w:t>严格执行国家有关安全生产的各项法律法规及行业管理条例，认真贯彻落实各项安全生产管理制度，所提供的所有信息资料真实有效，近一年内，无安全生产失信行为和无被安全监督部门公开曝光的事件。</w:t>
      </w:r>
    </w:p>
    <w:p>
      <w:pPr>
        <w:pStyle w:val="16"/>
        <w:keepNext w:val="0"/>
        <w:keepLines w:val="0"/>
        <w:pageBreakBefore w:val="0"/>
        <w:kinsoku/>
        <w:overflowPunct/>
        <w:topLinePunct w:val="0"/>
        <w:bidi w:val="0"/>
        <w:spacing w:line="360" w:lineRule="auto"/>
        <w:ind w:left="0" w:leftChars="0"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如以上承诺经查不实，我公司愿意承担由此造成的一切后果。</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特此承诺！</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投标人：（加盖公章）</w:t>
      </w:r>
    </w:p>
    <w:p>
      <w:pPr>
        <w:pStyle w:val="16"/>
        <w:keepNext w:val="0"/>
        <w:keepLines w:val="0"/>
        <w:pageBreakBefore w:val="0"/>
        <w:kinsoku/>
        <w:overflowPunct/>
        <w:topLinePunct w:val="0"/>
        <w:bidi w:val="0"/>
        <w:spacing w:line="360" w:lineRule="auto"/>
        <w:ind w:left="0" w:leftChars="0" w:firstLine="480" w:firstLineChars="2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   期：    年  月  日</w:t>
      </w:r>
    </w:p>
    <w:p>
      <w:pPr>
        <w:pStyle w:val="16"/>
        <w:spacing w:line="360" w:lineRule="auto"/>
        <w:rPr>
          <w:rFonts w:hint="eastAsia" w:ascii="仿宋" w:hAnsi="仿宋" w:eastAsia="仿宋" w:cs="仿宋"/>
          <w:color w:val="000000"/>
          <w:sz w:val="24"/>
          <w:szCs w:val="24"/>
          <w:highlight w:val="none"/>
          <w:lang w:val="en-US" w:eastAsia="zh-CN"/>
        </w:rPr>
      </w:pPr>
    </w:p>
    <w:p>
      <w:pPr>
        <w:pStyle w:val="4"/>
        <w:keepNext w:val="0"/>
        <w:keepLines w:val="0"/>
        <w:pageBreakBefore w:val="0"/>
        <w:widowControl w:val="0"/>
        <w:kinsoku/>
        <w:wordWrap/>
        <w:overflowPunct/>
        <w:topLinePunct/>
        <w:autoSpaceDE/>
        <w:autoSpaceDN/>
        <w:bidi w:val="0"/>
        <w:adjustRightInd w:val="0"/>
        <w:snapToGrid w:val="0"/>
        <w:spacing w:line="360" w:lineRule="auto"/>
        <w:ind w:right="0"/>
        <w:textAlignment w:val="auto"/>
        <w:rPr>
          <w:rFonts w:hint="eastAsia" w:ascii="仿宋" w:hAnsi="仿宋" w:eastAsia="仿宋" w:cs="仿宋"/>
          <w:sz w:val="24"/>
          <w:szCs w:val="24"/>
          <w:highlight w:val="none"/>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5E6117"/>
    <w:rsid w:val="02FF4BC4"/>
    <w:rsid w:val="03B94246"/>
    <w:rsid w:val="06402C0B"/>
    <w:rsid w:val="07A34FF1"/>
    <w:rsid w:val="08337E2C"/>
    <w:rsid w:val="0D8F55BF"/>
    <w:rsid w:val="12483364"/>
    <w:rsid w:val="12857DF3"/>
    <w:rsid w:val="144D68B0"/>
    <w:rsid w:val="14DC4893"/>
    <w:rsid w:val="154D47EE"/>
    <w:rsid w:val="15B036FB"/>
    <w:rsid w:val="1A357E1A"/>
    <w:rsid w:val="1B0B43F3"/>
    <w:rsid w:val="1B0D514B"/>
    <w:rsid w:val="1CED3535"/>
    <w:rsid w:val="206A6B9C"/>
    <w:rsid w:val="20E013D0"/>
    <w:rsid w:val="242157C3"/>
    <w:rsid w:val="24F22597"/>
    <w:rsid w:val="255E46D4"/>
    <w:rsid w:val="26292F4C"/>
    <w:rsid w:val="262E286F"/>
    <w:rsid w:val="273B4842"/>
    <w:rsid w:val="27FE22A3"/>
    <w:rsid w:val="2BB67A3C"/>
    <w:rsid w:val="2CB744E2"/>
    <w:rsid w:val="2D67693D"/>
    <w:rsid w:val="2EA339A5"/>
    <w:rsid w:val="2EB931C8"/>
    <w:rsid w:val="30A60587"/>
    <w:rsid w:val="32A56DA7"/>
    <w:rsid w:val="332D7CE1"/>
    <w:rsid w:val="34AA79F0"/>
    <w:rsid w:val="35661288"/>
    <w:rsid w:val="382D0783"/>
    <w:rsid w:val="38467698"/>
    <w:rsid w:val="3A027D7C"/>
    <w:rsid w:val="3A0932AA"/>
    <w:rsid w:val="3A79211C"/>
    <w:rsid w:val="3B0C0B24"/>
    <w:rsid w:val="3CD82080"/>
    <w:rsid w:val="3E6212CC"/>
    <w:rsid w:val="3F0A35CC"/>
    <w:rsid w:val="43187EFB"/>
    <w:rsid w:val="44AD2F6F"/>
    <w:rsid w:val="44D707C6"/>
    <w:rsid w:val="469945A1"/>
    <w:rsid w:val="46A65751"/>
    <w:rsid w:val="47C16834"/>
    <w:rsid w:val="47C456ED"/>
    <w:rsid w:val="490E3DD1"/>
    <w:rsid w:val="4AE000BE"/>
    <w:rsid w:val="4B186467"/>
    <w:rsid w:val="4BDE7972"/>
    <w:rsid w:val="4DE07805"/>
    <w:rsid w:val="4E0A035C"/>
    <w:rsid w:val="4E3A3511"/>
    <w:rsid w:val="4E9223C8"/>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BA27D8"/>
    <w:rsid w:val="67825B46"/>
    <w:rsid w:val="6A05798A"/>
    <w:rsid w:val="6A3A6264"/>
    <w:rsid w:val="6C755C79"/>
    <w:rsid w:val="6CA81631"/>
    <w:rsid w:val="6DFF3A4C"/>
    <w:rsid w:val="6ED861A0"/>
    <w:rsid w:val="6FD64C81"/>
    <w:rsid w:val="6FDC1165"/>
    <w:rsid w:val="74BB2FF2"/>
    <w:rsid w:val="77E9279A"/>
    <w:rsid w:val="793632CD"/>
    <w:rsid w:val="79F20261"/>
    <w:rsid w:val="7C3E5CD1"/>
    <w:rsid w:val="7D8D55F8"/>
    <w:rsid w:val="7E394D59"/>
    <w:rsid w:val="7ED177D0"/>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autoRedefine/>
    <w:qFormat/>
    <w:uiPriority w:val="99"/>
    <w:pPr>
      <w:spacing w:after="120" w:line="480" w:lineRule="auto"/>
    </w:pPr>
    <w:rPr>
      <w:rFonts w:ascii="Calibri" w:hAnsi="Calibri"/>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autoRedefine/>
    <w:unhideWhenUsed/>
    <w:qFormat/>
    <w:uiPriority w:val="0"/>
    <w:pPr>
      <w:ind w:firstLine="420" w:firstLineChars="200"/>
    </w:pPr>
  </w:style>
  <w:style w:type="character" w:styleId="15">
    <w:name w:val="Hyperlink"/>
    <w:basedOn w:val="14"/>
    <w:autoRedefine/>
    <w:qFormat/>
    <w:uiPriority w:val="0"/>
    <w:rPr>
      <w:color w:val="0000FF"/>
      <w:u w:val="none"/>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页眉 Char"/>
    <w:basedOn w:val="14"/>
    <w:link w:val="9"/>
    <w:autoRedefine/>
    <w:qFormat/>
    <w:uiPriority w:val="99"/>
    <w:rPr>
      <w:sz w:val="18"/>
      <w:szCs w:val="18"/>
    </w:rPr>
  </w:style>
  <w:style w:type="character" w:customStyle="1" w:styleId="18">
    <w:name w:val="页脚 Char"/>
    <w:basedOn w:val="14"/>
    <w:link w:val="8"/>
    <w:autoRedefine/>
    <w:qFormat/>
    <w:uiPriority w:val="99"/>
    <w:rPr>
      <w:sz w:val="18"/>
      <w:szCs w:val="18"/>
    </w:rPr>
  </w:style>
  <w:style w:type="character" w:customStyle="1" w:styleId="19">
    <w:name w:val="批注框文本 Char"/>
    <w:basedOn w:val="14"/>
    <w:link w:val="7"/>
    <w:autoRedefine/>
    <w:semiHidden/>
    <w:qFormat/>
    <w:uiPriority w:val="99"/>
    <w:rPr>
      <w:rFonts w:ascii="Times New Roman" w:hAnsi="Times New Roman" w:eastAsia="宋体" w:cs="Times New Roman"/>
      <w:kern w:val="2"/>
      <w:sz w:val="18"/>
      <w:szCs w:val="18"/>
    </w:rPr>
  </w:style>
  <w:style w:type="paragraph" w:customStyle="1"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6560</Words>
  <Characters>7151</Characters>
  <Lines>18</Lines>
  <Paragraphs>5</Paragraphs>
  <TotalTime>1</TotalTime>
  <ScaleCrop>false</ScaleCrop>
  <LinksUpToDate>false</LinksUpToDate>
  <CharactersWithSpaces>7455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赵慧峰</cp:lastModifiedBy>
  <dcterms:modified xsi:type="dcterms:W3CDTF">2024-05-27T07:30:41Z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B719AEF67E7D4A19BD842B83C4E7B3F4_13</vt:lpwstr>
  </property>
</Properties>
</file>