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蒙牛乳业2024-2026年度轴承采购项目</w:t>
      </w:r>
    </w:p>
    <w:p>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竞争性谈判信息公告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就蒙牛乳业2024-2026年度轴承采购项目进行竞争性谈判,欢迎符合资格条件的竞谈人参加。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ascii="仿宋" w:hAnsi="仿宋" w:eastAsia="仿宋" w:cs="仿宋"/>
          <w:kern w:val="0"/>
          <w:sz w:val="28"/>
          <w:szCs w:val="28"/>
        </w:rPr>
        <w:t>MNCGJH-20240529-0013</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bCs/>
          <w:kern w:val="0"/>
          <w:sz w:val="28"/>
          <w:szCs w:val="28"/>
        </w:rPr>
        <w:t>蒙牛乳业2024-2026年度轴承采购项目</w:t>
      </w:r>
    </w:p>
    <w:p>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kern w:val="0"/>
          <w:sz w:val="28"/>
          <w:szCs w:val="28"/>
        </w:rPr>
        <w:t>项目概况：</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本项目竞争性谈判涵盖区域如下：</w:t>
      </w:r>
    </w:p>
    <w:tbl>
      <w:tblPr>
        <w:tblStyle w:val="16"/>
        <w:tblW w:w="8840" w:type="dxa"/>
        <w:jc w:val="center"/>
        <w:tblLayout w:type="autofit"/>
        <w:tblCellMar>
          <w:top w:w="0" w:type="dxa"/>
          <w:left w:w="108" w:type="dxa"/>
          <w:bottom w:w="0" w:type="dxa"/>
          <w:right w:w="108" w:type="dxa"/>
        </w:tblCellMar>
      </w:tblPr>
      <w:tblGrid>
        <w:gridCol w:w="1674"/>
        <w:gridCol w:w="3685"/>
        <w:gridCol w:w="3481"/>
      </w:tblGrid>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序号</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标包</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供货工厂</w:t>
            </w:r>
          </w:p>
        </w:tc>
      </w:tr>
      <w:tr>
        <w:tblPrEx>
          <w:tblCellMar>
            <w:top w:w="0" w:type="dxa"/>
            <w:left w:w="108" w:type="dxa"/>
            <w:bottom w:w="0" w:type="dxa"/>
            <w:right w:w="108" w:type="dxa"/>
          </w:tblCellMar>
        </w:tblPrEx>
        <w:trPr>
          <w:trHeight w:val="454"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36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轴承</w:t>
            </w:r>
          </w:p>
        </w:tc>
        <w:tc>
          <w:tcPr>
            <w:tcW w:w="34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全国各工厂</w:t>
            </w:r>
          </w:p>
        </w:tc>
      </w:tr>
    </w:tbl>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预成交竞谈人数量：选取1名竞谈人作为成交人，竞谈人必须保证各工厂价格统一，且有能力给蒙牛下属各工厂供货。</w:t>
      </w:r>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1、竞谈人必须是在中华人民共和国境内注册具有独立法人资格的企业单位，公司注册资金在200万元人民币及以上（外币按注册时汇率计算，成立时间含三年即2021年5月1日前），以营业执照为准；</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2、竞谈人须是轴承行业的专业服务企业，具备轴承生产、销售或售后服务的专业资格；有能力履行竞谈内容要求和提供竞谈货物及服务的制造商或经销商，若是经销商须</w:t>
      </w:r>
      <w:r>
        <w:rPr>
          <w:rFonts w:hint="eastAsia" w:ascii="仿宋_GB2312" w:hAnsi="宋体" w:eastAsia="仿宋_GB2312"/>
          <w:color w:val="000000"/>
          <w:sz w:val="28"/>
          <w:szCs w:val="28"/>
        </w:rPr>
        <w:t>持有SKF、NSK、FAG、NTN、TIMKEN任一品牌轴承企业总部颁发的授权代理证书（除了提供上述品牌授权证书之外，其他证明文件将被视为无效）</w:t>
      </w:r>
      <w:r>
        <w:rPr>
          <w:rFonts w:hint="eastAsia" w:ascii="仿宋" w:hAnsi="仿宋" w:eastAsia="仿宋" w:cs="仿宋"/>
          <w:sz w:val="28"/>
          <w:szCs w:val="28"/>
        </w:rPr>
        <w:t>；</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3、竞谈人须具是一般纳税人，且能开具13%增值税发票；</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4、竞谈人须具有最近1年任意3个月的依法纳税缴纳证明材料和社保缴纳证明材料；</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5、竞谈人须具有开户行许可证或基本存款账户信息；</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6、本项目竞谈人需具有</w:t>
      </w:r>
      <w:r>
        <w:rPr>
          <w:rFonts w:hint="eastAsia" w:ascii="仿宋_GB2312" w:hAnsi="宋体" w:eastAsia="仿宋_GB2312"/>
          <w:color w:val="000000"/>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7、竞谈人具有2023年第三方财务审计报告或财务报表；</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8、竞谈人未被列入国家企业信用信息公示系统（http://www.gsxt.gov.cn/index.html）严重违法失信企业名单；</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10、本次竞谈不接受联合体竞谈，不允许分包和转包；</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11、不接受中粮及蒙牛竞谈人黑名单（以蒙牛集团下发的黑名单为准）的企业参与竞争。</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（3）制造商提供具有设备制造和安装能力厂家的设备厂商承诺书，若是经销商提供</w:t>
      </w:r>
      <w:r>
        <w:rPr>
          <w:rFonts w:hint="eastAsia" w:ascii="仿宋_GB2312" w:hAnsi="宋体" w:eastAsia="仿宋_GB2312"/>
          <w:color w:val="000000"/>
          <w:sz w:val="28"/>
          <w:szCs w:val="28"/>
        </w:rPr>
        <w:t>有SKF、NSK、FAG、NTN、TIMKEN任一品牌轴承企业总部颁发的授权代理证书（除了提供上述品牌授权证书之外，其他证明文件将被视为无效）</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（5）提供企业最近1年任意3个月的依法纳税证明材料和社保缴纳证明材料；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（6）提供开户行许可证或基本存款账户信息；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（7）提供</w:t>
      </w:r>
      <w:r>
        <w:rPr>
          <w:rFonts w:hint="eastAsia" w:ascii="仿宋_GB2312" w:hAnsi="宋体" w:eastAsia="仿宋_GB2312"/>
          <w:color w:val="000000"/>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（10）保密承诺书（附件2）。</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1、报名时间：2024年06月05日至2024年06月10日；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2、资格预审时间：2024年06月11日至2024年06月13日；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3、谈判文件发售时间：2024年06月14日至2024年06月19日19时发售谈判文件，谈判文件每套售价：人民币</w:t>
      </w:r>
      <w:r>
        <w:rPr>
          <w:rFonts w:hint="eastAsia" w:ascii="仿宋" w:hAnsi="仿宋" w:eastAsia="仿宋" w:cs="仿宋"/>
          <w:sz w:val="28"/>
          <w:szCs w:val="28"/>
          <w:u w:val="single"/>
        </w:rPr>
        <w:t>500</w:t>
      </w:r>
      <w:r>
        <w:rPr>
          <w:rFonts w:hint="eastAsia" w:ascii="仿宋" w:hAnsi="仿宋" w:eastAsia="仿宋" w:cs="仿宋"/>
          <w:sz w:val="28"/>
          <w:szCs w:val="28"/>
        </w:rPr>
        <w:t>元（仅支持对公转账），售后不退（汇款后将回执扫描后上传至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 兴业银行呼和浩特巨海城支行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收款单位: 内蒙古华晟工程项目管理有限公司和林格尔盛乐园区分公司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银行账号：592120100100098732</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银行行号：309191002120</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4、谈判时间：2024年07月02日09时30分（以发出的谈判文件为准）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业务咨询联系人：杨英姬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联系方式：13674757120</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十、采购代理公司及联系方式：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报名联系人：郭宇飞（13474917016）/丁桠楠（13847197935）王子刚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联系电话：0471-3957849/4918085分机号：8023</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rPr>
        <w:t>guoyufei@nmghuasheng.com</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郑建东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联系方式：0471-7393642/15034927966</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电子邮件：zhengjiandong@mengniu.cn</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2024年06月04日</w:t>
      </w:r>
    </w:p>
    <w:p>
      <w:pPr>
        <w:spacing w:line="360" w:lineRule="auto"/>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color w:val="000000"/>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558"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蒙牛乳业2024-2026年度轴承采购项目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bookmarkStart w:id="0" w:name="_GoBack"/>
      <w:bookmarkEnd w:id="0"/>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MDg2ZDFjZjc3YTg2ZGI2N2I3MDk5ZjA3MjMyYzE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2620"/>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C1AD1"/>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6275</Words>
  <Characters>6814</Characters>
  <Lines>54</Lines>
  <Paragraphs>15</Paragraphs>
  <TotalTime>26</TotalTime>
  <ScaleCrop>false</ScaleCrop>
  <LinksUpToDate>false</LinksUpToDate>
  <CharactersWithSpaces>7483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杨英姬</cp:lastModifiedBy>
  <dcterms:modified xsi:type="dcterms:W3CDTF">2024-05-31T06:36:54Z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EC2164598FFD4EC19356ED42E4FC9297</vt:lpwstr>
  </property>
</Properties>
</file>