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rPr>
          <w:rFonts w:hint="eastAsia" w:ascii="宋体" w:hAnsi="宋体"/>
          <w:b/>
          <w:sz w:val="36"/>
          <w:szCs w:val="36"/>
        </w:rPr>
      </w:pPr>
      <w:r>
        <w:rPr>
          <w:rFonts w:hint="eastAsia" w:ascii="仿宋" w:hAnsi="仿宋" w:eastAsia="仿宋" w:cs="仿宋"/>
          <w:b/>
          <w:bCs/>
          <w:sz w:val="28"/>
          <w:szCs w:val="28"/>
        </w:rPr>
        <w:t>蒙牛乳业常温清远工厂灌装间抱纸车采购项目</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询比价信息公告</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内蒙古蒙牛乳业（集团）股份有限公司就蒙牛乳业常温清远工厂灌装间抱纸车采购项目进行询比价, 欢迎符合资格条件的供应商参加。</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一、项目编号</w:t>
      </w:r>
      <w:r>
        <w:rPr>
          <w:rFonts w:hint="eastAsia" w:ascii="仿宋" w:hAnsi="仿宋" w:eastAsia="仿宋" w:cs="仿宋"/>
          <w:sz w:val="24"/>
          <w:szCs w:val="24"/>
          <w:lang w:val="en-US" w:eastAsia="zh-CN"/>
        </w:rPr>
        <w:t>：MNCGJH-20240606-0008</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二、项目名称：</w:t>
      </w:r>
      <w:r>
        <w:rPr>
          <w:rFonts w:hint="eastAsia" w:ascii="仿宋" w:hAnsi="仿宋" w:eastAsia="仿宋" w:cs="仿宋"/>
          <w:sz w:val="24"/>
          <w:szCs w:val="24"/>
          <w:lang w:val="en-US" w:eastAsia="zh-CN"/>
        </w:rPr>
        <w:t>蒙牛乳业常温清远工厂灌装间抱纸车采购项目</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sz w:val="21"/>
          <w:szCs w:val="21"/>
        </w:rPr>
      </w:pPr>
      <w:r>
        <w:rPr>
          <w:rFonts w:hint="eastAsia" w:ascii="仿宋" w:hAnsi="仿宋" w:eastAsia="仿宋" w:cs="仿宋"/>
          <w:b/>
          <w:bCs/>
          <w:kern w:val="2"/>
          <w:sz w:val="24"/>
          <w:szCs w:val="24"/>
          <w:lang w:val="en-US" w:eastAsia="zh-CN" w:bidi="ar-SA"/>
        </w:rPr>
        <w:t>三、项目概况：</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1、概况：清远工厂三条生产线目前仅有一台抱纸车，</w:t>
      </w:r>
      <w:r>
        <w:rPr>
          <w:rFonts w:hint="eastAsia" w:ascii="仿宋" w:hAnsi="仿宋" w:eastAsia="仿宋" w:cs="仿宋"/>
          <w:color w:val="000000"/>
          <w:sz w:val="24"/>
          <w:lang w:val="en-US" w:eastAsia="zh-CN"/>
        </w:rPr>
        <w:t>需</w:t>
      </w:r>
      <w:r>
        <w:rPr>
          <w:rFonts w:hint="eastAsia" w:ascii="仿宋" w:hAnsi="仿宋" w:eastAsia="仿宋" w:cs="仿宋"/>
          <w:color w:val="000000"/>
          <w:sz w:val="24"/>
        </w:rPr>
        <w:t>新增采购抱纸车一台。</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竞价</w:t>
      </w:r>
      <w:r>
        <w:rPr>
          <w:rFonts w:hint="eastAsia" w:ascii="仿宋" w:hAnsi="仿宋" w:eastAsia="仿宋" w:cs="仿宋"/>
          <w:color w:val="000000"/>
          <w:sz w:val="24"/>
        </w:rPr>
        <w:t>范围：</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需采购整车原装进口半电动抱纸车，项目品牌采用：利乐BT、乐吉腾、力至优，整车原装进口，需求电动起升，电动夹紧，自动翻转，手动行走，抱夹具备防止误操作打开功能，避免人员和物品损毁，杜绝安全事故发生。</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四、资格要求：</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竞价人</w:t>
      </w:r>
      <w:r>
        <w:rPr>
          <w:rFonts w:hint="eastAsia" w:ascii="仿宋" w:hAnsi="仿宋" w:eastAsia="仿宋" w:cs="仿宋"/>
          <w:sz w:val="24"/>
          <w:szCs w:val="24"/>
          <w:lang w:val="en-US" w:eastAsia="zh-CN"/>
        </w:rPr>
        <w:t>必须是在中华人民共和国境内注册的具有独立法人资格的企事业单位，注册资</w:t>
      </w:r>
      <w:r>
        <w:rPr>
          <w:rFonts w:hint="eastAsia" w:ascii="仿宋" w:hAnsi="仿宋" w:eastAsia="仿宋" w:cs="仿宋"/>
          <w:sz w:val="24"/>
          <w:szCs w:val="24"/>
          <w:highlight w:val="none"/>
          <w:lang w:val="en-US" w:eastAsia="zh-CN"/>
        </w:rPr>
        <w:t>金500万元及以上，以企业营业执照为准；</w:t>
      </w:r>
      <w:r>
        <w:rPr>
          <w:rFonts w:hint="eastAsia" w:ascii="仿宋" w:hAnsi="仿宋" w:eastAsia="仿宋" w:cs="仿宋"/>
          <w:color w:val="000000"/>
          <w:sz w:val="24"/>
          <w:lang w:val="en-US" w:eastAsia="zh-CN"/>
        </w:rPr>
        <w:t>且具有有效的</w:t>
      </w:r>
      <w:r>
        <w:rPr>
          <w:rFonts w:hint="eastAsia" w:ascii="仿宋" w:hAnsi="仿宋" w:eastAsia="仿宋" w:cs="仿宋"/>
          <w:sz w:val="24"/>
          <w:szCs w:val="24"/>
          <w:lang w:val="en-US" w:eastAsia="zh-CN"/>
        </w:rPr>
        <w:t>开户行许可证</w:t>
      </w:r>
      <w:r>
        <w:rPr>
          <w:rFonts w:hint="eastAsia" w:ascii="仿宋" w:hAnsi="仿宋" w:eastAsia="仿宋" w:cs="仿宋"/>
          <w:color w:val="000000"/>
          <w:sz w:val="24"/>
          <w:lang w:val="en-US" w:eastAsia="zh-CN"/>
        </w:rPr>
        <w:t>。</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须具有一般纳税人认定资格。</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授权委托人须为本企业在职人员；</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w:t>
      </w:r>
      <w:r>
        <w:rPr>
          <w:rFonts w:hint="eastAsia" w:ascii="仿宋" w:hAnsi="仿宋" w:eastAsia="仿宋" w:cs="仿宋"/>
          <w:color w:val="000000"/>
          <w:sz w:val="24"/>
          <w:lang w:val="en-US" w:eastAsia="zh-CN"/>
        </w:rPr>
        <w:t>竞价人必须为具有销售和维修（以上两项需同时具备）能力的设备厂商或授权代理商，若是授权代理商，必须取得所投货物生产制造商出具的书面授权书；</w:t>
      </w:r>
    </w:p>
    <w:p>
      <w:pPr>
        <w:spacing w:line="360" w:lineRule="auto"/>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5</w:t>
      </w:r>
      <w:r>
        <w:rPr>
          <w:rFonts w:hint="eastAsia" w:ascii="仿宋" w:hAnsi="仿宋" w:eastAsia="仿宋" w:cs="仿宋"/>
          <w:color w:val="000000"/>
          <w:sz w:val="24"/>
        </w:rPr>
        <w:t>）</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须具有2020至2022年或2021至2023年</w:t>
      </w:r>
      <w:r>
        <w:rPr>
          <w:rFonts w:hint="eastAsia" w:ascii="仿宋" w:hAnsi="仿宋" w:eastAsia="仿宋" w:cs="仿宋"/>
          <w:color w:val="000000"/>
          <w:sz w:val="24"/>
          <w:lang w:val="en-US" w:eastAsia="zh-CN"/>
        </w:rPr>
        <w:t>财务报表或</w:t>
      </w:r>
      <w:r>
        <w:rPr>
          <w:rFonts w:hint="eastAsia" w:ascii="仿宋" w:hAnsi="仿宋" w:eastAsia="仿宋" w:cs="仿宋"/>
          <w:color w:val="000000"/>
          <w:sz w:val="24"/>
        </w:rPr>
        <w:t>第三方财务审计报告</w:t>
      </w:r>
      <w:r>
        <w:rPr>
          <w:rFonts w:hint="eastAsia" w:ascii="仿宋" w:hAnsi="仿宋" w:eastAsia="仿宋" w:cs="仿宋"/>
          <w:color w:val="000000"/>
          <w:sz w:val="24"/>
          <w:lang w:eastAsia="zh-CN"/>
        </w:rPr>
        <w:t>；</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6</w:t>
      </w:r>
      <w:r>
        <w:rPr>
          <w:rFonts w:hint="eastAsia" w:ascii="仿宋" w:hAnsi="仿宋" w:eastAsia="仿宋" w:cs="仿宋"/>
          <w:color w:val="000000"/>
          <w:sz w:val="24"/>
        </w:rPr>
        <w:t>）</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2021年1月1日至今须具有两个及以上类似项目业绩（以合同为准）</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7</w:t>
      </w:r>
      <w:r>
        <w:rPr>
          <w:rFonts w:hint="eastAsia" w:ascii="仿宋" w:hAnsi="仿宋" w:eastAsia="仿宋" w:cs="仿宋"/>
          <w:color w:val="000000"/>
          <w:sz w:val="24"/>
        </w:rPr>
        <w:t>）</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未被列入国家企业信用信息公示系统（http://www.gsxt.gov.cn/index.html）严重违法失信企业名单。</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8</w:t>
      </w:r>
      <w:r>
        <w:rPr>
          <w:rFonts w:hint="eastAsia" w:ascii="仿宋" w:hAnsi="仿宋" w:eastAsia="仿宋" w:cs="仿宋"/>
          <w:color w:val="000000"/>
          <w:sz w:val="24"/>
        </w:rPr>
        <w:t>）与采购人存在利害关系可能影响采购公正性的法人、其他组织或者个人，不得参加</w:t>
      </w:r>
      <w:r>
        <w:rPr>
          <w:rFonts w:hint="eastAsia" w:ascii="仿宋" w:hAnsi="仿宋" w:eastAsia="仿宋" w:cs="仿宋"/>
          <w:color w:val="000000"/>
          <w:sz w:val="24"/>
          <w:lang w:val="en-US" w:eastAsia="zh-CN"/>
        </w:rPr>
        <w:t>竞价</w:t>
      </w:r>
      <w:r>
        <w:rPr>
          <w:rFonts w:hint="eastAsia" w:ascii="仿宋" w:hAnsi="仿宋" w:eastAsia="仿宋" w:cs="仿宋"/>
          <w:color w:val="000000"/>
          <w:sz w:val="24"/>
        </w:rPr>
        <w:t>；单位负责人为同一人或者存在控股、管理关系的不同单位，不得参加同一标段</w:t>
      </w:r>
      <w:r>
        <w:rPr>
          <w:rFonts w:hint="eastAsia" w:ascii="仿宋" w:hAnsi="仿宋" w:eastAsia="仿宋" w:cs="仿宋"/>
          <w:color w:val="000000"/>
          <w:sz w:val="24"/>
          <w:lang w:val="en-US" w:eastAsia="zh-CN"/>
        </w:rPr>
        <w:t>竞价</w:t>
      </w:r>
      <w:r>
        <w:rPr>
          <w:rFonts w:hint="eastAsia" w:ascii="仿宋" w:hAnsi="仿宋" w:eastAsia="仿宋" w:cs="仿宋"/>
          <w:color w:val="000000"/>
          <w:sz w:val="24"/>
        </w:rPr>
        <w:t>或者未划分标段的同一采购项目</w:t>
      </w:r>
      <w:r>
        <w:rPr>
          <w:rFonts w:hint="eastAsia" w:ascii="仿宋" w:hAnsi="仿宋" w:eastAsia="仿宋" w:cs="仿宋"/>
          <w:color w:val="000000"/>
          <w:sz w:val="24"/>
          <w:lang w:val="en-US" w:eastAsia="zh-CN"/>
        </w:rPr>
        <w:t>竞价</w:t>
      </w:r>
      <w:r>
        <w:rPr>
          <w:rFonts w:hint="eastAsia" w:ascii="仿宋" w:hAnsi="仿宋" w:eastAsia="仿宋" w:cs="仿宋"/>
          <w:color w:val="000000"/>
          <w:sz w:val="24"/>
        </w:rPr>
        <w:t>；存在以上情况的，在通过资格预审的情况下，允许最先报名的潜在竞谈人参与</w:t>
      </w:r>
      <w:r>
        <w:rPr>
          <w:rFonts w:hint="eastAsia" w:ascii="仿宋" w:hAnsi="仿宋" w:eastAsia="仿宋" w:cs="仿宋"/>
          <w:color w:val="000000"/>
          <w:sz w:val="24"/>
          <w:lang w:val="en-US" w:eastAsia="zh-CN"/>
        </w:rPr>
        <w:t>竞价</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9</w:t>
      </w:r>
      <w:r>
        <w:rPr>
          <w:rFonts w:hint="eastAsia" w:ascii="仿宋" w:hAnsi="仿宋" w:eastAsia="仿宋" w:cs="仿宋"/>
          <w:color w:val="000000"/>
          <w:sz w:val="24"/>
        </w:rPr>
        <w:t>）本次项目不接受联合体竞</w:t>
      </w:r>
      <w:r>
        <w:rPr>
          <w:rFonts w:hint="eastAsia" w:ascii="仿宋" w:hAnsi="仿宋" w:eastAsia="仿宋" w:cs="仿宋"/>
          <w:color w:val="000000"/>
          <w:sz w:val="24"/>
          <w:lang w:val="en-US" w:eastAsia="zh-CN"/>
        </w:rPr>
        <w:t>价</w:t>
      </w:r>
      <w:r>
        <w:rPr>
          <w:rFonts w:hint="eastAsia" w:ascii="仿宋" w:hAnsi="仿宋" w:eastAsia="仿宋" w:cs="仿宋"/>
          <w:color w:val="000000"/>
          <w:sz w:val="24"/>
        </w:rPr>
        <w:t>，不允许分包或转包。</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10</w:t>
      </w:r>
      <w:r>
        <w:rPr>
          <w:rFonts w:hint="eastAsia" w:ascii="仿宋" w:hAnsi="仿宋" w:eastAsia="仿宋" w:cs="仿宋"/>
          <w:color w:val="000000"/>
          <w:sz w:val="24"/>
        </w:rPr>
        <w:t xml:space="preserve">）不接受中粮及蒙牛供应商黑名单（以蒙牛集团招投标管理部下发的黑名单为准）的企业参与竞争。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五、报名须知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1、报名资格文件的组成及顺序按照如下要求提供：</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（1）提供有效的营业执照（副本）、有效的开户行许可证；</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（2）提供一般纳税人资格证明材料、并提供企业最近1年任意3个月的依法纳税证明材料和社保缴纳证明材料；</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（3）提供法定代表人证明书或授权委托书原件；</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备注：法定代表人须上传法人证明材料及身份证原件扫描件，若为被授权人须上传一份法人授权委托书和身份证原件扫描件及授权委托人近一年内在本单位的社保证明材料。</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0000FF"/>
          <w:sz w:val="24"/>
          <w:szCs w:val="24"/>
          <w:lang w:val="en-US" w:eastAsia="zh-CN"/>
        </w:rPr>
      </w:pPr>
      <w:r>
        <w:rPr>
          <w:rFonts w:hint="eastAsia" w:ascii="仿宋" w:hAnsi="仿宋" w:eastAsia="仿宋" w:cs="仿宋"/>
          <w:sz w:val="24"/>
          <w:szCs w:val="24"/>
          <w:lang w:val="en-US" w:eastAsia="zh-CN"/>
        </w:rPr>
        <w:t>（4）提供</w:t>
      </w:r>
      <w:r>
        <w:rPr>
          <w:rFonts w:hint="eastAsia" w:ascii="仿宋" w:hAnsi="仿宋" w:eastAsia="仿宋" w:cs="仿宋"/>
          <w:color w:val="000000"/>
          <w:sz w:val="24"/>
          <w:lang w:val="en-US" w:eastAsia="zh-CN"/>
        </w:rPr>
        <w:t>具有销售和维修（以上两项需同时具备）能力的设备厂商或授权代理商的证明材料，若是授权代理商，须提供取得所投货物生产制造商出具的书面授权书的证明材料</w:t>
      </w:r>
      <w:r>
        <w:rPr>
          <w:rFonts w:hint="eastAsia" w:ascii="仿宋" w:hAnsi="仿宋" w:eastAsia="仿宋" w:cs="仿宋"/>
          <w:color w:val="0000FF"/>
          <w:sz w:val="24"/>
          <w:szCs w:val="24"/>
          <w:lang w:val="en-US" w:eastAsia="zh-CN"/>
        </w:rPr>
        <w:t>。</w:t>
      </w:r>
    </w:p>
    <w:p>
      <w:pPr>
        <w:pStyle w:val="18"/>
        <w:keepNext w:val="0"/>
        <w:keepLines w:val="0"/>
        <w:pageBreakBefore w:val="0"/>
        <w:widowControl w:val="0"/>
        <w:numPr>
          <w:ilvl w:val="0"/>
          <w:numId w:val="0"/>
        </w:numPr>
        <w:kinsoku w:val="0"/>
        <w:wordWrap/>
        <w:overflowPunct w:val="0"/>
        <w:topLinePunct w:val="0"/>
        <w:autoSpaceDE/>
        <w:autoSpaceDN w:val="0"/>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（5）提供近三年（2020至2022年或2021至2023年）的财务报表或经过第三方专业审计机构出具的财务审计报告；</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highlight w:val="none"/>
          <w:lang w:val="en-US" w:eastAsia="zh-CN"/>
        </w:rPr>
        <w:t>）提供2021年1月1日至今至少两个类似项目业绩（以合同为准）</w:t>
      </w:r>
    </w:p>
    <w:p>
      <w:pPr>
        <w:pStyle w:val="18"/>
        <w:keepNext w:val="0"/>
        <w:keepLines w:val="0"/>
        <w:pageBreakBefore w:val="0"/>
        <w:widowControl w:val="0"/>
        <w:numPr>
          <w:ilvl w:val="0"/>
          <w:numId w:val="0"/>
        </w:numPr>
        <w:kinsoku w:val="0"/>
        <w:wordWrap/>
        <w:overflowPunct w:val="0"/>
        <w:topLinePunct w:val="0"/>
        <w:autoSpaceDE/>
        <w:autoSpaceDN w:val="0"/>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（7）提供竞价人未被列入国家企业信用信息公示系统（</w:t>
      </w:r>
      <w:r>
        <w:rPr>
          <w:rFonts w:hint="eastAsia" w:ascii="仿宋" w:hAnsi="仿宋" w:eastAsia="仿宋" w:cs="仿宋"/>
          <w:color w:val="auto"/>
          <w:sz w:val="24"/>
          <w:szCs w:val="24"/>
          <w:u w:val="none"/>
          <w:lang w:val="en-US" w:eastAsia="zh-CN"/>
        </w:rPr>
        <w:t>http://www.gsxt.gov.cn/index.html）严重违法失信企业名单</w:t>
      </w:r>
      <w:r>
        <w:rPr>
          <w:rFonts w:hint="eastAsia" w:ascii="仿宋" w:hAnsi="仿宋" w:eastAsia="仿宋" w:cs="仿宋"/>
          <w:sz w:val="24"/>
          <w:szCs w:val="24"/>
          <w:lang w:val="en-US" w:eastAsia="zh-CN"/>
        </w:rPr>
        <w:t>证明。</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（8）提供潜在竞价单位报名提供信息表（附件1）</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（9）提供保密承诺书（附件2）</w:t>
      </w:r>
    </w:p>
    <w:p>
      <w:pPr>
        <w:pStyle w:val="18"/>
        <w:keepNext w:val="0"/>
        <w:keepLines w:val="0"/>
        <w:pageBreakBefore w:val="0"/>
        <w:widowControl w:val="0"/>
        <w:numPr>
          <w:ilvl w:val="0"/>
          <w:numId w:val="0"/>
        </w:numPr>
        <w:kinsoku w:val="0"/>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szCs w:val="24"/>
          <w:lang w:val="en-US" w:eastAsia="zh-CN"/>
        </w:rPr>
        <w:t>“蒙牛集团电子采购招标平台（</w:t>
      </w:r>
      <w:r>
        <w:rPr>
          <w:rFonts w:hint="eastAsia" w:ascii="仿宋" w:hAnsi="仿宋" w:eastAsia="仿宋" w:cs="仿宋"/>
          <w:color w:val="auto"/>
          <w:sz w:val="24"/>
          <w:szCs w:val="24"/>
          <w:u w:val="none"/>
          <w:lang w:val="en-US" w:eastAsia="zh-CN"/>
        </w:rPr>
        <w:t>https://zbcg.mengniu.cn/#/home</w:t>
      </w:r>
      <w:r>
        <w:rPr>
          <w:rFonts w:hint="eastAsia" w:ascii="仿宋" w:hAnsi="仿宋" w:eastAsia="仿宋" w:cs="仿宋"/>
          <w:sz w:val="24"/>
          <w:szCs w:val="24"/>
          <w:lang w:val="en-US" w:eastAsia="zh-CN"/>
        </w:rPr>
        <w:t xml:space="preserve"> ）”</w:t>
      </w:r>
      <w:bookmarkEnd w:id="0"/>
      <w:r>
        <w:rPr>
          <w:rFonts w:hint="eastAsia" w:ascii="仿宋" w:hAnsi="仿宋" w:eastAsia="仿宋" w:cs="仿宋"/>
          <w:sz w:val="24"/>
          <w:szCs w:val="24"/>
          <w:lang w:val="en-US" w:eastAsia="zh-CN"/>
        </w:rPr>
        <w:t>进行线上提交，进行资格审查（过期提交不予受理），审查合格后方可领取询报价单（仅作为发放询报价单的依据）。</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    竞价人自领取询报价单之日起，应确保其向采购人或招标代理机构提供的通讯手段（电话、邮箱）一直有效，以保证往来函件能及时传达并及时反馈信息，否则由此引起的一切后果由竞价人承担。</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2、报名方式：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潜在竞价人依据资格要求自主评估，符合条件的登录“蒙牛集团电子采购招标平台”进行网上报名、资格验证、下载询报价单、澄清答疑和参与竞价会等，过程中如有疑问可咨询平台服务支持或咨询采购方业务咨询联系人。</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FF0000"/>
          <w:sz w:val="24"/>
          <w:szCs w:val="24"/>
          <w:lang w:val="en-US" w:eastAsia="zh-CN"/>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hint="eastAsia" w:ascii="仿宋" w:hAnsi="仿宋" w:eastAsia="仿宋" w:cs="仿宋"/>
          <w:sz w:val="24"/>
          <w:szCs w:val="24"/>
          <w:lang w:val="en-US" w:eastAsia="zh-CN"/>
        </w:rPr>
        <w:t xml:space="preserve">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资料提供不全或者未按时间要求提报的将被拒绝接收，所提供的资质业绩文件中如有虚假情况，一经发现将被取消竞价资格。</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竞价人自收到询报价单之日起，应确保其向采购人提供的通讯手段（电话、邮箱）一直有效，以保证往来函件能及时传达并及时反馈信息，否则由此引起的一切后果由人竞价人承担。</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六、项目时间安排及要求：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1、报名时间：</w:t>
      </w:r>
      <w:r>
        <w:rPr>
          <w:rFonts w:hint="eastAsia" w:ascii="仿宋" w:hAnsi="仿宋" w:eastAsia="仿宋" w:cs="仿宋"/>
          <w:sz w:val="24"/>
          <w:szCs w:val="24"/>
          <w:lang w:val="en-US" w:eastAsia="zh-CN"/>
        </w:rPr>
        <w:t>2024年6月11日12时0分0秒至2024年6月14日12时00分00秒；</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2、资格预审时间：</w:t>
      </w:r>
      <w:r>
        <w:rPr>
          <w:rFonts w:hint="eastAsia" w:ascii="仿宋" w:hAnsi="仿宋" w:eastAsia="仿宋" w:cs="仿宋"/>
          <w:sz w:val="24"/>
          <w:szCs w:val="24"/>
          <w:lang w:val="en-US" w:eastAsia="zh-CN"/>
        </w:rPr>
        <w:t>2024年6月14日12时0分0秒至2024年6月15日12时0分0秒；</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3、询价单发放时间：</w:t>
      </w:r>
      <w:r>
        <w:rPr>
          <w:rFonts w:hint="eastAsia" w:ascii="仿宋" w:hAnsi="仿宋" w:eastAsia="仿宋" w:cs="仿宋"/>
          <w:sz w:val="24"/>
          <w:szCs w:val="24"/>
          <w:lang w:val="en-US" w:eastAsia="zh-CN"/>
        </w:rPr>
        <w:t>2024年6月17日0时0分0秒至2024年6月18日23时59分59秒；</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4、比价时间</w:t>
      </w:r>
      <w:r>
        <w:rPr>
          <w:rFonts w:hint="eastAsia" w:ascii="仿宋" w:hAnsi="仿宋" w:eastAsia="仿宋" w:cs="仿宋"/>
          <w:sz w:val="24"/>
          <w:szCs w:val="24"/>
          <w:lang w:val="en-US" w:eastAsia="zh-CN"/>
        </w:rPr>
        <w:t>：2024年6月20日9:30时；</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color w:val="000000"/>
          <w:sz w:val="21"/>
          <w:szCs w:val="21"/>
          <w:lang w:val="en-US" w:eastAsia="zh-CN"/>
        </w:rPr>
      </w:pPr>
      <w:r>
        <w:rPr>
          <w:rFonts w:hint="eastAsia" w:ascii="仿宋" w:hAnsi="仿宋" w:eastAsia="仿宋" w:cs="仿宋"/>
          <w:b/>
          <w:bCs/>
          <w:kern w:val="2"/>
          <w:sz w:val="24"/>
          <w:szCs w:val="24"/>
          <w:lang w:val="en-US" w:eastAsia="zh-CN" w:bidi="ar-SA"/>
        </w:rPr>
        <w:t>七、询比价地点：</w:t>
      </w:r>
      <w:r>
        <w:rPr>
          <w:rFonts w:hint="eastAsia" w:ascii="仿宋" w:hAnsi="仿宋" w:eastAsia="仿宋" w:cs="仿宋"/>
          <w:kern w:val="2"/>
          <w:sz w:val="24"/>
          <w:szCs w:val="24"/>
          <w:lang w:val="en-US" w:eastAsia="zh-CN" w:bidi="ar-SA"/>
        </w:rPr>
        <w:t>蒙牛集团电子采购招标平台（https://zbcg.mengniu.cn/）</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八、发布媒体：</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中国招标投标公共服务平台（http://www.cebpubservice.com/）</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蒙牛集团电子招标采购交易平台（</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https://zbcg.mengniu.cn）</w:t>
      </w:r>
      <w:r>
        <w:rPr>
          <w:rFonts w:hint="eastAsia" w:ascii="仿宋" w:hAnsi="仿宋" w:eastAsia="仿宋" w:cs="仿宋"/>
          <w:sz w:val="24"/>
          <w:szCs w:val="24"/>
          <w:lang w:val="en-US" w:eastAsia="zh-CN"/>
        </w:rPr>
        <w:fldChar w:fldCharType="end"/>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蒙牛官网（http://www.mengniu.com.cn）</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蒙牛内部OA平台</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只在以上平台发布，其他任何媒体转载无效。</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九、采购招标实施方及联系方式：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采购方：</w:t>
      </w:r>
      <w:r>
        <w:rPr>
          <w:rFonts w:hint="eastAsia" w:ascii="仿宋" w:hAnsi="仿宋" w:eastAsia="仿宋" w:cs="仿宋"/>
          <w:sz w:val="24"/>
          <w:szCs w:val="24"/>
          <w:lang w:val="en-US" w:eastAsia="zh-CN"/>
        </w:rPr>
        <w:t>内蒙古蒙牛乳业（集团）股份有限公司</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业务咨询联系人：</w:t>
      </w:r>
      <w:r>
        <w:rPr>
          <w:rFonts w:hint="eastAsia" w:ascii="仿宋" w:hAnsi="仿宋" w:eastAsia="仿宋" w:cs="仿宋"/>
          <w:sz w:val="24"/>
          <w:szCs w:val="24"/>
          <w:lang w:val="en-US" w:eastAsia="zh-CN"/>
        </w:rPr>
        <w:t xml:space="preserve">张嘉馨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联系方式：</w:t>
      </w:r>
      <w:r>
        <w:rPr>
          <w:rFonts w:hint="eastAsia" w:ascii="仿宋" w:hAnsi="仿宋" w:eastAsia="仿宋" w:cs="仿宋"/>
          <w:sz w:val="24"/>
          <w:szCs w:val="24"/>
          <w:lang w:val="en-US" w:eastAsia="zh-CN"/>
        </w:rPr>
        <w:t>15148996062</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十、监督单位及联系方式：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监督单位：</w:t>
      </w:r>
      <w:r>
        <w:rPr>
          <w:rFonts w:hint="eastAsia" w:ascii="仿宋" w:hAnsi="仿宋" w:eastAsia="仿宋" w:cs="仿宋"/>
          <w:sz w:val="24"/>
          <w:szCs w:val="24"/>
          <w:lang w:val="en-US" w:eastAsia="zh-CN"/>
        </w:rPr>
        <w:t>内蒙古蒙牛乳业（集团）股份有限公司采购招标管理部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异议/投诉服务网址：</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"https://zbcg.mengniu.cn/" \l "/home" \t "_blank"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https://zbcg.mengniu.cn/#/home</w:t>
      </w:r>
      <w:r>
        <w:rPr>
          <w:rFonts w:hint="eastAsia" w:ascii="仿宋" w:hAnsi="仿宋" w:eastAsia="仿宋" w:cs="仿宋"/>
          <w:sz w:val="24"/>
          <w:szCs w:val="24"/>
          <w:lang w:val="en-US" w:eastAsia="zh-CN"/>
        </w:rPr>
        <w:fldChar w:fldCharType="end"/>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监 督 人:</w:t>
      </w:r>
      <w:r>
        <w:rPr>
          <w:rFonts w:hint="eastAsia" w:ascii="仿宋" w:hAnsi="仿宋" w:eastAsia="仿宋" w:cs="仿宋"/>
          <w:sz w:val="24"/>
          <w:szCs w:val="24"/>
          <w:lang w:val="en-US" w:eastAsia="zh-CN"/>
        </w:rPr>
        <w:t xml:space="preserve">郑建东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联系方式：</w:t>
      </w:r>
      <w:r>
        <w:rPr>
          <w:rFonts w:hint="eastAsia" w:ascii="仿宋" w:hAnsi="仿宋" w:eastAsia="仿宋" w:cs="仿宋"/>
          <w:sz w:val="24"/>
          <w:szCs w:val="24"/>
          <w:lang w:val="en-US" w:eastAsia="zh-CN"/>
        </w:rPr>
        <w:t>0471-7393642/15034927966</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电子邮件：</w:t>
      </w:r>
      <w:r>
        <w:rPr>
          <w:rFonts w:hint="eastAsia" w:ascii="仿宋" w:hAnsi="仿宋" w:eastAsia="仿宋" w:cs="仿宋"/>
          <w:sz w:val="24"/>
          <w:szCs w:val="24"/>
          <w:lang w:val="en-US" w:eastAsia="zh-CN"/>
        </w:rPr>
        <w:t>zhengjiandong@mengniu.cn</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p>
    <w:p>
      <w:pPr>
        <w:keepNext w:val="0"/>
        <w:keepLines w:val="0"/>
        <w:pageBreakBefore w:val="0"/>
        <w:kinsoku/>
        <w:overflowPunct/>
        <w:bidi w:val="0"/>
        <w:spacing w:line="460" w:lineRule="exact"/>
        <w:ind w:left="0" w:leftChars="0" w:right="0" w:rightChars="0" w:firstLine="422" w:firstLineChars="200"/>
        <w:jc w:val="left"/>
        <w:textAlignment w:val="auto"/>
        <w:rPr>
          <w:rFonts w:hint="eastAsia" w:ascii="仿宋" w:hAnsi="仿宋" w:eastAsia="仿宋" w:cs="仿宋"/>
          <w:b/>
          <w:sz w:val="21"/>
          <w:szCs w:val="21"/>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附件：</w:t>
      </w:r>
      <w:r>
        <w:rPr>
          <w:rFonts w:hint="eastAsia" w:ascii="仿宋" w:hAnsi="仿宋" w:eastAsia="仿宋" w:cs="仿宋"/>
          <w:sz w:val="24"/>
          <w:szCs w:val="24"/>
          <w:lang w:val="en-US" w:eastAsia="zh-CN"/>
        </w:rPr>
        <w:t>1.潜在竞价单位报名提供信息表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200" w:firstLineChars="5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2.保密承诺书</w:t>
      </w: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采购方：内蒙古蒙牛乳业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集团</w:t>
      </w:r>
      <w:r>
        <w:rPr>
          <w:rFonts w:hint="eastAsia" w:ascii="仿宋" w:hAnsi="仿宋" w:eastAsia="仿宋" w:cs="仿宋"/>
          <w:sz w:val="24"/>
          <w:szCs w:val="24"/>
          <w:lang w:eastAsia="zh-CN"/>
        </w:rPr>
        <w:t>）</w:t>
      </w:r>
      <w:r>
        <w:rPr>
          <w:rFonts w:hint="eastAsia" w:ascii="仿宋" w:hAnsi="仿宋" w:eastAsia="仿宋" w:cs="仿宋"/>
          <w:sz w:val="24"/>
          <w:szCs w:val="24"/>
        </w:rPr>
        <w:t>股份有限公司</w:t>
      </w:r>
    </w:p>
    <w:p>
      <w:pPr>
        <w:keepNext w:val="0"/>
        <w:keepLines w:val="0"/>
        <w:pageBreakBefore w:val="0"/>
        <w:kinsoku/>
        <w:wordWrap w:val="0"/>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11</w:t>
      </w:r>
      <w:bookmarkStart w:id="1" w:name="_GoBack"/>
      <w:bookmarkEnd w:id="1"/>
      <w:r>
        <w:rPr>
          <w:rFonts w:hint="eastAsia" w:ascii="仿宋" w:hAnsi="仿宋" w:eastAsia="仿宋" w:cs="仿宋"/>
          <w:sz w:val="24"/>
          <w:szCs w:val="24"/>
        </w:rPr>
        <w:t>日</w:t>
      </w: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br w:type="page"/>
      </w: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附件1：</w:t>
      </w:r>
    </w:p>
    <w:p>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2"/>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br w:type="page"/>
      </w: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r>
        <w:rPr>
          <w:rFonts w:hint="eastAsia" w:ascii="仿宋" w:hAnsi="仿宋" w:eastAsia="仿宋" w:cs="仿宋"/>
          <w:sz w:val="21"/>
          <w:szCs w:val="21"/>
        </w:rPr>
        <w:t>附件2：</w:t>
      </w:r>
    </w:p>
    <w:p>
      <w:pPr>
        <w:keepNext w:val="0"/>
        <w:keepLines w:val="0"/>
        <w:pageBreakBefore w:val="0"/>
        <w:widowControl/>
        <w:kinsoku/>
        <w:overflowPunct/>
        <w:bidi w:val="0"/>
        <w:adjustRightInd w:val="0"/>
        <w:snapToGrid w:val="0"/>
        <w:spacing w:line="460" w:lineRule="exact"/>
        <w:jc w:val="center"/>
        <w:textAlignment w:val="baseline"/>
        <w:rPr>
          <w:rFonts w:hint="eastAsia" w:ascii="仿宋" w:hAnsi="仿宋" w:eastAsia="仿宋" w:cs="仿宋"/>
          <w:b/>
          <w:kern w:val="0"/>
          <w:sz w:val="21"/>
          <w:szCs w:val="21"/>
        </w:rPr>
      </w:pPr>
      <w:r>
        <w:rPr>
          <w:rFonts w:hint="eastAsia" w:ascii="仿宋" w:hAnsi="仿宋" w:eastAsia="仿宋" w:cs="仿宋"/>
          <w:b/>
          <w:kern w:val="0"/>
          <w:sz w:val="21"/>
          <w:szCs w:val="21"/>
        </w:rPr>
        <w:t>保密承诺书</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甲方：</w:t>
      </w:r>
      <w:r>
        <w:rPr>
          <w:rFonts w:hint="eastAsia" w:ascii="仿宋" w:hAnsi="仿宋" w:eastAsia="仿宋" w:cs="仿宋"/>
          <w:color w:val="000000"/>
          <w:kern w:val="0"/>
          <w:sz w:val="21"/>
          <w:szCs w:val="21"/>
          <w:highlight w:val="none"/>
        </w:rPr>
        <w:t xml:space="preserve">内蒙古蒙牛乳业(集团)股份有限公司 </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地址：</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乙方（承诺方）：</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地址：</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甲乙双方就</w:t>
      </w:r>
      <w:r>
        <w:rPr>
          <w:rFonts w:hint="eastAsia" w:ascii="仿宋" w:hAnsi="仿宋" w:eastAsia="仿宋" w:cs="仿宋"/>
          <w:color w:val="000000"/>
          <w:kern w:val="0"/>
          <w:sz w:val="21"/>
          <w:szCs w:val="21"/>
          <w:lang w:val="en-US" w:eastAsia="zh-CN"/>
        </w:rPr>
        <w:t>蒙牛乳业常温清远工厂灌装间抱纸车采购项目</w:t>
      </w:r>
      <w:r>
        <w:rPr>
          <w:rFonts w:hint="eastAsia" w:ascii="仿宋" w:hAnsi="仿宋" w:eastAsia="仿宋" w:cs="仿宋"/>
          <w:color w:val="000000"/>
          <w:kern w:val="0"/>
          <w:sz w:val="21"/>
          <w:szCs w:val="21"/>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一、定义</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（一）由乙方以书面文件证明：该等信息已于披露之前已由乙方所持有；</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（二）已公开发表或非因乙方作为或不作为的原因，已向公众披露；</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（三）已由甲方书面同意乙方公开；</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（四）由乙方在未使用该等机密信息的情形下独立开发；</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（五）乙方从第三方处合法、正当地取得，且该第三方对该等机密信息不承担保密义务。</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二、保密</w:t>
      </w:r>
    </w:p>
    <w:p>
      <w:pPr>
        <w:pStyle w:val="10"/>
        <w:keepNext w:val="0"/>
        <w:keepLines w:val="0"/>
        <w:pageBreakBefore w:val="0"/>
        <w:kinsoku/>
        <w:overflowPunct/>
        <w:bidi w:val="0"/>
        <w:spacing w:line="460" w:lineRule="exact"/>
        <w:ind w:left="0" w:leftChars="0"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1"/>
          <w:szCs w:val="21"/>
        </w:rPr>
        <w:t xml:space="preserve">  </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三、公开</w:t>
      </w:r>
    </w:p>
    <w:p>
      <w:pPr>
        <w:pStyle w:val="10"/>
        <w:keepNext w:val="0"/>
        <w:keepLines w:val="0"/>
        <w:pageBreakBefore w:val="0"/>
        <w:kinsoku/>
        <w:overflowPunct/>
        <w:bidi w:val="0"/>
        <w:spacing w:line="460" w:lineRule="exact"/>
        <w:ind w:left="0" w:leftChars="0"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1"/>
          <w:szCs w:val="21"/>
        </w:rPr>
        <w:t xml:space="preserve">                                                                                                                                                               </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四、强制性披露</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五、返还资料</w:t>
      </w:r>
    </w:p>
    <w:p>
      <w:pPr>
        <w:pStyle w:val="6"/>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在承诺书目的终止、撤消、完成、被拒绝或以其他方式解除后，根据甲方的书面要求，乙方应在项目谈判协商终止后的</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u w:val="single"/>
          <w:lang w:val="en-US" w:eastAsia="zh-CN"/>
        </w:rPr>
        <w:t>5</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六、非授权许可</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除为查阅或使用机密信息以达成本承诺书目的之权利外，本承诺书中甲方未将专利权、版权、商业秘密或其他知识产权项下权利转让给乙方，同时也未将甲方的机密信息内所含或所属的权利转让给乙方。</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七、义务限定</w:t>
      </w:r>
    </w:p>
    <w:p>
      <w:pPr>
        <w:keepNext w:val="0"/>
        <w:keepLines w:val="0"/>
        <w:pageBreakBefore w:val="0"/>
        <w:kinsoku/>
        <w:overflowPunct/>
        <w:bidi w:val="0"/>
        <w:spacing w:line="460" w:lineRule="exact"/>
        <w:ind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本承诺书不得被视作或解释为甲方有义务向乙方提供任何信息、与乙方进行商业交易或签订任何最终协议，除非甲方决定向乙方提供信息或与其签订与交易有关的最终协议。</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八、信息准确性</w:t>
      </w:r>
    </w:p>
    <w:p>
      <w:pPr>
        <w:keepNext w:val="0"/>
        <w:keepLines w:val="0"/>
        <w:pageBreakBefore w:val="0"/>
        <w:kinsoku/>
        <w:overflowPunct/>
        <w:bidi w:val="0"/>
        <w:spacing w:line="460" w:lineRule="exact"/>
        <w:ind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甲方、甲方的子公司及分公司并未就其向乙方披露的任何机密信息的准确性、可靠性及完整性作出明示或暗示的声明或保证，且对乙方、其代表人员或其他使用该等机密信息的人员不承担任何责任。</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九、期限</w:t>
      </w:r>
    </w:p>
    <w:p>
      <w:pPr>
        <w:pStyle w:val="6"/>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本承诺书中乙方之保密义务应自乙方收到机密信息之日起</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u w:val="single"/>
          <w:lang w:val="en-US" w:eastAsia="zh-CN"/>
        </w:rPr>
        <w:t>5</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年内持续有效，且不因承诺书目的之达成而终止。</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十、补充条款</w:t>
      </w:r>
    </w:p>
    <w:p>
      <w:pPr>
        <w:pStyle w:val="5"/>
        <w:keepNext w:val="0"/>
        <w:keepLines w:val="0"/>
        <w:pageBreakBefore w:val="0"/>
        <w:kinsoku/>
        <w:overflowPunct/>
        <w:bidi w:val="0"/>
        <w:spacing w:after="0" w:line="460" w:lineRule="exact"/>
        <w:ind w:left="0" w:leftChars="0" w:firstLine="422" w:firstLineChars="200"/>
        <w:rPr>
          <w:rFonts w:hint="eastAsia" w:ascii="仿宋" w:hAnsi="仿宋" w:eastAsia="仿宋" w:cs="仿宋"/>
          <w:b/>
          <w:color w:val="000000"/>
          <w:sz w:val="21"/>
          <w:szCs w:val="21"/>
        </w:rPr>
      </w:pPr>
      <w:r>
        <w:rPr>
          <w:rFonts w:hint="eastAsia" w:ascii="仿宋" w:hAnsi="仿宋" w:eastAsia="仿宋" w:cs="仿宋"/>
          <w:b/>
          <w:color w:val="000000"/>
          <w:sz w:val="21"/>
          <w:szCs w:val="21"/>
        </w:rPr>
        <w:t>（一）合规条款</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2、履约行为合规承诺：乙方承诺具有履行本承诺书约定的能力，且履行行为符合现行法律法规等规范性文件的要求。</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4、合规检查：乙方应积极配合甲方的合规检查，理解并接受甲方对乙方的合规管理要求，同意配合合规检查，并不得隐瞒任何可能对甲方利益造成影响的信息。</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5、劳动用工:</w:t>
      </w:r>
      <w:r>
        <w:rPr>
          <w:rFonts w:hint="eastAsia" w:ascii="仿宋" w:hAnsi="仿宋" w:eastAsia="仿宋" w:cs="仿宋"/>
          <w:sz w:val="21"/>
          <w:szCs w:val="21"/>
        </w:rPr>
        <w:t xml:space="preserve"> </w:t>
      </w:r>
      <w:r>
        <w:rPr>
          <w:rFonts w:hint="eastAsia" w:ascii="仿宋" w:hAnsi="仿宋" w:eastAsia="仿宋" w:cs="仿宋"/>
          <w:color w:val="000000"/>
          <w:sz w:val="21"/>
          <w:szCs w:val="21"/>
        </w:rPr>
        <w:t>乙方承诺不雇佣、使用童工，保障其员工的劳动合法权益，不纵容、支持、实施歧视、威胁员工的行为或发布相关言论。</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7、严格约束乙方员工及其代理人：乙方承诺严格遵守合规承诺条款，若乙方员工及乙方的代理人或代理机构违反相关承诺即视为乙方违反。</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10、责任承担：如果乙方违反前述合规承诺条款，甲方有权要求乙方承担因此而给甲方造成的全部损失。</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12、适用原则：本承诺书中合规条款对乙方的要求与承诺书中其他条款不一致的，以对乙方要求更高的条款为准。</w:t>
      </w:r>
    </w:p>
    <w:p>
      <w:pPr>
        <w:pStyle w:val="5"/>
        <w:keepNext w:val="0"/>
        <w:keepLines w:val="0"/>
        <w:pageBreakBefore w:val="0"/>
        <w:kinsoku/>
        <w:overflowPunct/>
        <w:bidi w:val="0"/>
        <w:spacing w:after="0" w:line="460" w:lineRule="exact"/>
        <w:ind w:left="0" w:leftChars="0" w:firstLine="422" w:firstLineChars="200"/>
        <w:rPr>
          <w:rFonts w:hint="eastAsia" w:ascii="仿宋" w:hAnsi="仿宋" w:eastAsia="仿宋" w:cs="仿宋"/>
          <w:b/>
          <w:color w:val="000000"/>
          <w:sz w:val="21"/>
          <w:szCs w:val="21"/>
        </w:rPr>
      </w:pPr>
      <w:r>
        <w:rPr>
          <w:rFonts w:hint="eastAsia" w:ascii="仿宋" w:hAnsi="仿宋" w:eastAsia="仿宋" w:cs="仿宋"/>
          <w:b/>
          <w:color w:val="000000"/>
          <w:sz w:val="21"/>
          <w:szCs w:val="21"/>
        </w:rPr>
        <w:t>（二）环境保护</w:t>
      </w:r>
    </w:p>
    <w:p>
      <w:pPr>
        <w:keepNext w:val="0"/>
        <w:keepLines w:val="0"/>
        <w:pageBreakBefore w:val="0"/>
        <w:kinsoku/>
        <w:overflowPunct/>
        <w:bidi w:val="0"/>
        <w:spacing w:line="460" w:lineRule="exact"/>
        <w:ind w:left="0" w:leftChars="0" w:firstLine="420" w:firstLineChars="200"/>
        <w:rPr>
          <w:rFonts w:hint="eastAsia" w:ascii="仿宋" w:hAnsi="仿宋" w:eastAsia="仿宋" w:cs="仿宋"/>
          <w:sz w:val="21"/>
          <w:szCs w:val="21"/>
        </w:rPr>
      </w:pPr>
      <w:r>
        <w:rPr>
          <w:rFonts w:hint="eastAsia" w:ascii="仿宋" w:hAnsi="仿宋" w:eastAsia="仿宋" w:cs="仿宋"/>
          <w:sz w:val="21"/>
          <w:szCs w:val="21"/>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overflowPunct/>
        <w:bidi w:val="0"/>
        <w:spacing w:line="460" w:lineRule="exact"/>
        <w:ind w:left="0" w:leftChars="0" w:firstLine="422" w:firstLineChars="200"/>
        <w:rPr>
          <w:rFonts w:hint="eastAsia" w:ascii="仿宋" w:hAnsi="仿宋" w:eastAsia="仿宋" w:cs="仿宋"/>
          <w:b/>
          <w:sz w:val="21"/>
          <w:szCs w:val="21"/>
        </w:rPr>
      </w:pPr>
      <w:r>
        <w:rPr>
          <w:rFonts w:hint="eastAsia" w:ascii="仿宋" w:hAnsi="仿宋" w:eastAsia="仿宋" w:cs="仿宋"/>
          <w:b/>
          <w:sz w:val="21"/>
          <w:szCs w:val="21"/>
        </w:rPr>
        <w:t>（三）附件法律效力条款</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sz w:val="21"/>
          <w:szCs w:val="21"/>
        </w:rPr>
        <w:t>本着接受法律上之约束的意向，双方特此同意本承诺书全部附录、附件等均为本承诺书不可分割的部分，共同构成双方就达成的全部承诺书，与本承诺书具有同等法律效力。</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十一、适用法律</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u w:val="single"/>
          <w:lang w:val="en-US" w:eastAsia="zh-CN"/>
        </w:rPr>
        <w:t>一</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种方式解决：</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（一）向呼和浩特仲裁委员会申请仲裁。因仲裁产生的包括但不限于仲裁费、律师费、调查费、差旅费等，由乙方承担。</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（二）向甲方所在地有管辖权的人民法院提起诉讼。因诉讼产生的包括但不限于诉讼费、律师费、调查费、差旅费等，由乙方承担。</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十二、违约责任及救济</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overflowPunct/>
        <w:bidi w:val="0"/>
        <w:spacing w:line="460" w:lineRule="exact"/>
        <w:ind w:left="0" w:leftChars="0" w:firstLine="422" w:firstLineChars="200"/>
        <w:rPr>
          <w:rFonts w:hint="eastAsia" w:ascii="仿宋" w:hAnsi="仿宋" w:eastAsia="仿宋" w:cs="仿宋"/>
          <w:color w:val="000000"/>
          <w:kern w:val="0"/>
          <w:sz w:val="21"/>
          <w:szCs w:val="21"/>
        </w:rPr>
      </w:pPr>
      <w:r>
        <w:rPr>
          <w:rFonts w:hint="eastAsia" w:ascii="仿宋" w:hAnsi="仿宋" w:eastAsia="仿宋" w:cs="仿宋"/>
          <w:b/>
          <w:color w:val="000000"/>
          <w:kern w:val="0"/>
          <w:sz w:val="21"/>
          <w:szCs w:val="21"/>
        </w:rPr>
        <w:t>如果</w:t>
      </w:r>
      <w:r>
        <w:rPr>
          <w:rFonts w:hint="eastAsia" w:ascii="仿宋" w:hAnsi="仿宋" w:eastAsia="仿宋" w:cs="仿宋"/>
          <w:b/>
          <w:bCs/>
          <w:color w:val="000000"/>
          <w:kern w:val="0"/>
          <w:sz w:val="21"/>
          <w:szCs w:val="21"/>
        </w:rPr>
        <w:t>乙方</w:t>
      </w:r>
      <w:r>
        <w:rPr>
          <w:rFonts w:hint="eastAsia" w:ascii="仿宋" w:hAnsi="仿宋" w:eastAsia="仿宋" w:cs="仿宋"/>
          <w:b/>
          <w:color w:val="000000"/>
          <w:kern w:val="0"/>
          <w:sz w:val="21"/>
          <w:szCs w:val="21"/>
        </w:rPr>
        <w:t>违反本承诺书的任何规定情形,则甲方有权将乙方拉入蒙牛供应商黑名单，乙方应积极配合甲方在10个工作日内收回已经泄露的信息。</w:t>
      </w:r>
    </w:p>
    <w:p>
      <w:pPr>
        <w:pStyle w:val="5"/>
        <w:keepNext w:val="0"/>
        <w:keepLines w:val="0"/>
        <w:pageBreakBefore w:val="0"/>
        <w:kinsoku/>
        <w:overflowPunct/>
        <w:bidi w:val="0"/>
        <w:spacing w:after="0" w:line="460" w:lineRule="exact"/>
        <w:ind w:left="0" w:leftChars="0" w:firstLine="422" w:firstLineChars="200"/>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十三、生效及份数</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本承诺书经乙方签字盖章之日起生效。</w:t>
      </w:r>
    </w:p>
    <w:p>
      <w:pPr>
        <w:keepNext w:val="0"/>
        <w:keepLines w:val="0"/>
        <w:pageBreakBefore w:val="0"/>
        <w:kinsoku/>
        <w:overflowPunct/>
        <w:bidi w:val="0"/>
        <w:spacing w:line="460" w:lineRule="exact"/>
        <w:ind w:left="0" w:leftChars="0" w:firstLine="422" w:firstLineChars="200"/>
        <w:rPr>
          <w:rFonts w:hint="eastAsia" w:ascii="仿宋" w:hAnsi="仿宋" w:eastAsia="仿宋" w:cs="仿宋"/>
          <w:b/>
          <w:bCs/>
          <w:sz w:val="21"/>
          <w:szCs w:val="21"/>
        </w:rPr>
      </w:pP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（以下无正文）</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r>
        <w:rPr>
          <w:rFonts w:hint="eastAsia" w:ascii="仿宋" w:hAnsi="仿宋" w:eastAsia="仿宋" w:cs="仿宋"/>
          <w:color w:val="000000"/>
          <w:kern w:val="0"/>
          <w:sz w:val="21"/>
          <w:szCs w:val="21"/>
        </w:rPr>
        <w:tab/>
      </w:r>
      <w:r>
        <w:rPr>
          <w:rFonts w:hint="eastAsia" w:ascii="仿宋" w:hAnsi="仿宋" w:eastAsia="仿宋" w:cs="仿宋"/>
          <w:color w:val="000000"/>
          <w:kern w:val="0"/>
          <w:sz w:val="21"/>
          <w:szCs w:val="21"/>
        </w:rPr>
        <w:tab/>
      </w:r>
      <w:r>
        <w:rPr>
          <w:rFonts w:hint="eastAsia" w:ascii="仿宋" w:hAnsi="仿宋" w:eastAsia="仿宋" w:cs="仿宋"/>
          <w:color w:val="000000"/>
          <w:kern w:val="0"/>
          <w:sz w:val="21"/>
          <w:szCs w:val="21"/>
        </w:rPr>
        <w:t xml:space="preserve">                            </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乙方（承诺方）：</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代表人：</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sz w:val="21"/>
          <w:szCs w:val="21"/>
        </w:rPr>
      </w:pPr>
      <w:r>
        <w:rPr>
          <w:rFonts w:hint="eastAsia" w:ascii="仿宋" w:hAnsi="仿宋" w:eastAsia="仿宋" w:cs="仿宋"/>
          <w:color w:val="000000"/>
          <w:kern w:val="0"/>
          <w:sz w:val="21"/>
          <w:szCs w:val="21"/>
        </w:rPr>
        <w:t>日期：</w:t>
      </w:r>
    </w:p>
    <w:p>
      <w:pPr>
        <w:keepNext w:val="0"/>
        <w:keepLines w:val="0"/>
        <w:pageBreakBefore w:val="0"/>
        <w:kinsoku/>
        <w:overflowPunct/>
        <w:bidi w:val="0"/>
        <w:spacing w:line="460" w:lineRule="exact"/>
        <w:ind w:left="0" w:leftChars="0" w:firstLine="420" w:firstLineChars="200"/>
        <w:rPr>
          <w:rFonts w:hint="eastAsia" w:ascii="楷体_GB2312" w:hAnsi="宋体" w:eastAsia="楷体_GB2312"/>
          <w:sz w:val="21"/>
          <w:szCs w:val="21"/>
        </w:rPr>
      </w:pPr>
    </w:p>
    <w:p>
      <w:pPr>
        <w:pStyle w:val="4"/>
        <w:keepNext w:val="0"/>
        <w:keepLines w:val="0"/>
        <w:pageBreakBefore w:val="0"/>
        <w:kinsoku/>
        <w:overflowPunct/>
        <w:topLinePunct/>
        <w:bidi w:val="0"/>
        <w:adjustRightInd w:val="0"/>
        <w:snapToGrid w:val="0"/>
        <w:spacing w:line="460" w:lineRule="exact"/>
        <w:ind w:left="0" w:leftChars="0" w:right="0" w:rightChars="0" w:firstLine="420" w:firstLineChars="200"/>
        <w:textAlignment w:val="auto"/>
        <w:rPr>
          <w:rFonts w:hint="eastAsia" w:ascii="仿宋" w:hAnsi="仿宋" w:eastAsia="仿宋" w:cs="仿宋"/>
          <w:sz w:val="21"/>
          <w:szCs w:val="21"/>
        </w:rPr>
      </w:pPr>
      <w:r>
        <w:rPr>
          <w:rFonts w:hint="eastAsia" w:ascii="楷体_GB2312" w:hAnsi="仿宋" w:eastAsia="楷体_GB2312"/>
          <w:sz w:val="21"/>
          <w:szCs w:val="21"/>
        </w:rPr>
        <w:t>　　　　　　　　　　　　　</w:t>
      </w:r>
    </w:p>
    <w:sectPr>
      <w:pgSz w:w="11906" w:h="16838"/>
      <w:pgMar w:top="1134"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MTUxYjU2YjM0YzYzZGM2N2VkNDk0NGUxNWE4NWUifQ=="/>
  </w:docVars>
  <w:rsids>
    <w:rsidRoot w:val="000F4331"/>
    <w:rsid w:val="00070451"/>
    <w:rsid w:val="00092E93"/>
    <w:rsid w:val="000F4331"/>
    <w:rsid w:val="00106509"/>
    <w:rsid w:val="00114A49"/>
    <w:rsid w:val="00125794"/>
    <w:rsid w:val="00154039"/>
    <w:rsid w:val="00173167"/>
    <w:rsid w:val="001B6352"/>
    <w:rsid w:val="001D3E3F"/>
    <w:rsid w:val="0021010E"/>
    <w:rsid w:val="0024228C"/>
    <w:rsid w:val="002471ED"/>
    <w:rsid w:val="00276E33"/>
    <w:rsid w:val="0028225C"/>
    <w:rsid w:val="0029371A"/>
    <w:rsid w:val="002D4C85"/>
    <w:rsid w:val="00334CBB"/>
    <w:rsid w:val="0033564C"/>
    <w:rsid w:val="0034534E"/>
    <w:rsid w:val="0038487B"/>
    <w:rsid w:val="003B6EF3"/>
    <w:rsid w:val="003F4823"/>
    <w:rsid w:val="0041481A"/>
    <w:rsid w:val="00443121"/>
    <w:rsid w:val="004522A4"/>
    <w:rsid w:val="004631BA"/>
    <w:rsid w:val="00467241"/>
    <w:rsid w:val="00472CCC"/>
    <w:rsid w:val="004C38AE"/>
    <w:rsid w:val="00570DEA"/>
    <w:rsid w:val="005831E4"/>
    <w:rsid w:val="005D6697"/>
    <w:rsid w:val="00657C10"/>
    <w:rsid w:val="00666EE6"/>
    <w:rsid w:val="00667FF2"/>
    <w:rsid w:val="00671957"/>
    <w:rsid w:val="006945F3"/>
    <w:rsid w:val="006B6C3A"/>
    <w:rsid w:val="006C345F"/>
    <w:rsid w:val="00727111"/>
    <w:rsid w:val="007A53D7"/>
    <w:rsid w:val="007B6B47"/>
    <w:rsid w:val="008107ED"/>
    <w:rsid w:val="0082709A"/>
    <w:rsid w:val="008951B8"/>
    <w:rsid w:val="008A71C1"/>
    <w:rsid w:val="00912D0A"/>
    <w:rsid w:val="00964DED"/>
    <w:rsid w:val="00975D66"/>
    <w:rsid w:val="0098500F"/>
    <w:rsid w:val="009A53E0"/>
    <w:rsid w:val="009C0E42"/>
    <w:rsid w:val="009E0A16"/>
    <w:rsid w:val="00AB418C"/>
    <w:rsid w:val="00AB7B2B"/>
    <w:rsid w:val="00AC49D0"/>
    <w:rsid w:val="00AD0824"/>
    <w:rsid w:val="00AD565F"/>
    <w:rsid w:val="00AF61E6"/>
    <w:rsid w:val="00B3033E"/>
    <w:rsid w:val="00B54CF7"/>
    <w:rsid w:val="00BB598C"/>
    <w:rsid w:val="00C23AF0"/>
    <w:rsid w:val="00C42B89"/>
    <w:rsid w:val="00C60722"/>
    <w:rsid w:val="00C7129A"/>
    <w:rsid w:val="00DC0575"/>
    <w:rsid w:val="00E03B81"/>
    <w:rsid w:val="00E13822"/>
    <w:rsid w:val="00EA1469"/>
    <w:rsid w:val="00EA389B"/>
    <w:rsid w:val="00ED6E48"/>
    <w:rsid w:val="00EF0456"/>
    <w:rsid w:val="00F1123A"/>
    <w:rsid w:val="00FD24A5"/>
    <w:rsid w:val="018954EA"/>
    <w:rsid w:val="01B166F6"/>
    <w:rsid w:val="047540F8"/>
    <w:rsid w:val="05D15782"/>
    <w:rsid w:val="077566D6"/>
    <w:rsid w:val="0B6D4268"/>
    <w:rsid w:val="0C965492"/>
    <w:rsid w:val="0D360258"/>
    <w:rsid w:val="0D3957E6"/>
    <w:rsid w:val="0D682F64"/>
    <w:rsid w:val="0E057218"/>
    <w:rsid w:val="0EC817E1"/>
    <w:rsid w:val="0F384BB8"/>
    <w:rsid w:val="0F576528"/>
    <w:rsid w:val="0F625791"/>
    <w:rsid w:val="10537E12"/>
    <w:rsid w:val="10563548"/>
    <w:rsid w:val="11D0732A"/>
    <w:rsid w:val="11FB6447"/>
    <w:rsid w:val="12A04F4F"/>
    <w:rsid w:val="13734411"/>
    <w:rsid w:val="13AC7923"/>
    <w:rsid w:val="142918A0"/>
    <w:rsid w:val="14642650"/>
    <w:rsid w:val="14FE7D0A"/>
    <w:rsid w:val="155E4C4D"/>
    <w:rsid w:val="17D47448"/>
    <w:rsid w:val="181B3609"/>
    <w:rsid w:val="18AB63FB"/>
    <w:rsid w:val="1C4E1880"/>
    <w:rsid w:val="1C646FED"/>
    <w:rsid w:val="1CFB2856"/>
    <w:rsid w:val="1D230C56"/>
    <w:rsid w:val="1DCC309C"/>
    <w:rsid w:val="1E660528"/>
    <w:rsid w:val="1F525822"/>
    <w:rsid w:val="210C1A01"/>
    <w:rsid w:val="212C1A8E"/>
    <w:rsid w:val="230D634E"/>
    <w:rsid w:val="23A75A11"/>
    <w:rsid w:val="258E6E89"/>
    <w:rsid w:val="259D3570"/>
    <w:rsid w:val="259D531E"/>
    <w:rsid w:val="259F1096"/>
    <w:rsid w:val="261455E0"/>
    <w:rsid w:val="26C2328E"/>
    <w:rsid w:val="26E71FF8"/>
    <w:rsid w:val="2C300C99"/>
    <w:rsid w:val="2CC47634"/>
    <w:rsid w:val="2DC25921"/>
    <w:rsid w:val="2F330613"/>
    <w:rsid w:val="2F48454C"/>
    <w:rsid w:val="2FF8610C"/>
    <w:rsid w:val="303625F7"/>
    <w:rsid w:val="30BB1E44"/>
    <w:rsid w:val="30CE0A81"/>
    <w:rsid w:val="326A47D9"/>
    <w:rsid w:val="32931F82"/>
    <w:rsid w:val="33344B5B"/>
    <w:rsid w:val="334544DA"/>
    <w:rsid w:val="33B0446E"/>
    <w:rsid w:val="343155AF"/>
    <w:rsid w:val="35B26607"/>
    <w:rsid w:val="35D94150"/>
    <w:rsid w:val="36EF3746"/>
    <w:rsid w:val="388008B3"/>
    <w:rsid w:val="38CC1D4A"/>
    <w:rsid w:val="390F40F4"/>
    <w:rsid w:val="39783C80"/>
    <w:rsid w:val="397877DC"/>
    <w:rsid w:val="39C120F3"/>
    <w:rsid w:val="39CA7828"/>
    <w:rsid w:val="39FC21BB"/>
    <w:rsid w:val="3A700C53"/>
    <w:rsid w:val="3B5D137F"/>
    <w:rsid w:val="3BDF1D94"/>
    <w:rsid w:val="3C5C1637"/>
    <w:rsid w:val="3C6109FB"/>
    <w:rsid w:val="3C6A3D54"/>
    <w:rsid w:val="3EB24704"/>
    <w:rsid w:val="3FB83028"/>
    <w:rsid w:val="403C5A07"/>
    <w:rsid w:val="405368AD"/>
    <w:rsid w:val="41F12821"/>
    <w:rsid w:val="42F61818"/>
    <w:rsid w:val="43437D8F"/>
    <w:rsid w:val="43F558C4"/>
    <w:rsid w:val="455C4456"/>
    <w:rsid w:val="45B264B8"/>
    <w:rsid w:val="46674FDF"/>
    <w:rsid w:val="46F10BCE"/>
    <w:rsid w:val="474E6020"/>
    <w:rsid w:val="4A793372"/>
    <w:rsid w:val="4B441C14"/>
    <w:rsid w:val="4B533C05"/>
    <w:rsid w:val="4C2F01CE"/>
    <w:rsid w:val="4C4C6FD2"/>
    <w:rsid w:val="4D07739D"/>
    <w:rsid w:val="4D43272D"/>
    <w:rsid w:val="4DBE77A4"/>
    <w:rsid w:val="50302767"/>
    <w:rsid w:val="50F419E6"/>
    <w:rsid w:val="515572A6"/>
    <w:rsid w:val="52A77371"/>
    <w:rsid w:val="5325057D"/>
    <w:rsid w:val="53BA3F2F"/>
    <w:rsid w:val="547D1CF3"/>
    <w:rsid w:val="557A3F52"/>
    <w:rsid w:val="56B75990"/>
    <w:rsid w:val="56F00EA2"/>
    <w:rsid w:val="56FC7846"/>
    <w:rsid w:val="57BE4183"/>
    <w:rsid w:val="590F19E9"/>
    <w:rsid w:val="5A9304C2"/>
    <w:rsid w:val="5B0D2022"/>
    <w:rsid w:val="5C05719D"/>
    <w:rsid w:val="5CA63B2F"/>
    <w:rsid w:val="5DC32E6C"/>
    <w:rsid w:val="5E3C5349"/>
    <w:rsid w:val="5EE94B54"/>
    <w:rsid w:val="5FD2383A"/>
    <w:rsid w:val="619D39D4"/>
    <w:rsid w:val="61A82AA5"/>
    <w:rsid w:val="62E258C4"/>
    <w:rsid w:val="62F14310"/>
    <w:rsid w:val="64665769"/>
    <w:rsid w:val="65411653"/>
    <w:rsid w:val="66430FEE"/>
    <w:rsid w:val="66846F11"/>
    <w:rsid w:val="66BB5028"/>
    <w:rsid w:val="66F10A4A"/>
    <w:rsid w:val="67492634"/>
    <w:rsid w:val="68B17BB0"/>
    <w:rsid w:val="698067CB"/>
    <w:rsid w:val="6A2F22D8"/>
    <w:rsid w:val="6B1B3633"/>
    <w:rsid w:val="6BD050D2"/>
    <w:rsid w:val="6C68355C"/>
    <w:rsid w:val="6C9D33C3"/>
    <w:rsid w:val="6C9F2CF6"/>
    <w:rsid w:val="6E631E9D"/>
    <w:rsid w:val="6F286FD3"/>
    <w:rsid w:val="6FB62831"/>
    <w:rsid w:val="70FD3D96"/>
    <w:rsid w:val="71542301"/>
    <w:rsid w:val="747A1B80"/>
    <w:rsid w:val="74D3353D"/>
    <w:rsid w:val="757F1917"/>
    <w:rsid w:val="76E934EC"/>
    <w:rsid w:val="783C3AEF"/>
    <w:rsid w:val="78727511"/>
    <w:rsid w:val="79073EB3"/>
    <w:rsid w:val="7A8D5E8D"/>
    <w:rsid w:val="7AB67B89"/>
    <w:rsid w:val="7B9D1C40"/>
    <w:rsid w:val="7BEE3352"/>
    <w:rsid w:val="7C29782E"/>
    <w:rsid w:val="7C345209"/>
    <w:rsid w:val="7CFD384D"/>
    <w:rsid w:val="7E2D15A6"/>
    <w:rsid w:val="7E7C0CB0"/>
    <w:rsid w:val="7EDB5E10"/>
    <w:rsid w:val="7F480FCB"/>
    <w:rsid w:val="D75B80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toa heading"/>
    <w:basedOn w:val="1"/>
    <w:next w:val="1"/>
    <w:qFormat/>
    <w:uiPriority w:val="0"/>
    <w:pPr>
      <w:spacing w:before="120"/>
    </w:pPr>
    <w:rPr>
      <w:rFonts w:ascii="DejaVu Sans" w:hAnsi="DejaVu Sans"/>
      <w:sz w:val="24"/>
    </w:rPr>
  </w:style>
  <w:style w:type="paragraph" w:styleId="4">
    <w:name w:val="Body Text 3"/>
    <w:basedOn w:val="1"/>
    <w:autoRedefine/>
    <w:qFormat/>
    <w:uiPriority w:val="0"/>
    <w:rPr>
      <w:rFonts w:ascii="宋体" w:hAnsi="Calibri"/>
      <w:sz w:val="24"/>
      <w:szCs w:val="20"/>
    </w:rPr>
  </w:style>
  <w:style w:type="paragraph" w:styleId="5">
    <w:name w:val="Body Text"/>
    <w:basedOn w:val="1"/>
    <w:autoRedefine/>
    <w:qFormat/>
    <w:uiPriority w:val="0"/>
    <w:pPr>
      <w:spacing w:after="120"/>
    </w:pPr>
  </w:style>
  <w:style w:type="paragraph" w:styleId="6">
    <w:name w:val="Body Text Indent"/>
    <w:basedOn w:val="1"/>
    <w:autoRedefine/>
    <w:qFormat/>
    <w:uiPriority w:val="0"/>
    <w:pPr>
      <w:spacing w:line="360" w:lineRule="auto"/>
      <w:ind w:firstLine="420"/>
    </w:pPr>
    <w:rPr>
      <w:szCs w:val="20"/>
    </w:rPr>
  </w:style>
  <w:style w:type="paragraph" w:styleId="7">
    <w:name w:val="Balloon Text"/>
    <w:basedOn w:val="1"/>
    <w:autoRedefine/>
    <w:semiHidden/>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autoRedefine/>
    <w:qFormat/>
    <w:uiPriority w:val="0"/>
    <w:pPr>
      <w:ind w:left="720"/>
    </w:pPr>
    <w:rPr>
      <w:szCs w:val="20"/>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autoRedefine/>
    <w:qFormat/>
    <w:uiPriority w:val="0"/>
    <w:rPr>
      <w:color w:val="0000FF"/>
      <w:u w:val="none"/>
    </w:rPr>
  </w:style>
  <w:style w:type="character" w:customStyle="1" w:styleId="16">
    <w:name w:val="页眉 Char"/>
    <w:basedOn w:val="14"/>
    <w:link w:val="9"/>
    <w:autoRedefine/>
    <w:qFormat/>
    <w:uiPriority w:val="99"/>
    <w:rPr>
      <w:sz w:val="18"/>
      <w:szCs w:val="18"/>
    </w:rPr>
  </w:style>
  <w:style w:type="character" w:customStyle="1" w:styleId="17">
    <w:name w:val="页脚 Char"/>
    <w:basedOn w:val="14"/>
    <w:link w:val="8"/>
    <w:autoRedefine/>
    <w:qFormat/>
    <w:uiPriority w:val="99"/>
    <w:rPr>
      <w:sz w:val="18"/>
      <w:szCs w:val="18"/>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5615</Words>
  <Characters>6002</Characters>
  <Lines>29</Lines>
  <Paragraphs>8</Paragraphs>
  <TotalTime>0</TotalTime>
  <ScaleCrop>false</ScaleCrop>
  <LinksUpToDate>false</LinksUpToDate>
  <CharactersWithSpaces>6261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張張</cp:lastModifiedBy>
  <dcterms:modified xsi:type="dcterms:W3CDTF">2024-06-11T01:27:16Z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5EE1C612B7D04FB28CD2472C93A4A7DD</vt:lpwstr>
  </property>
</Properties>
</file>