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宋体" w:hAnsi="宋体"/>
          <w:b/>
          <w:sz w:val="36"/>
          <w:szCs w:val="36"/>
        </w:rPr>
      </w:pPr>
      <w:r>
        <w:rPr>
          <w:rFonts w:hint="eastAsia" w:ascii="仿宋" w:hAnsi="仿宋" w:eastAsia="仿宋" w:cs="仿宋"/>
          <w:b/>
          <w:bCs/>
          <w:sz w:val="28"/>
          <w:szCs w:val="28"/>
        </w:rPr>
        <w:t>蒙牛乳业常温宿迁二期立体库附属弱电工程项目</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询比价信息公告</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内蒙古蒙牛乳业（集团）股份有限公司就蒙牛乳业常温宿迁二期立体库附属弱电工程项目进行询比价, 欢迎符合资格条件的供应商参加。</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一、项目编号</w:t>
      </w:r>
      <w:r>
        <w:rPr>
          <w:rFonts w:hint="eastAsia" w:ascii="仿宋" w:hAnsi="仿宋" w:eastAsia="仿宋" w:cs="仿宋"/>
          <w:sz w:val="24"/>
          <w:szCs w:val="24"/>
          <w:lang w:val="en-US" w:eastAsia="zh-CN"/>
        </w:rPr>
        <w:t>：MNCGJH-20240606-0006</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二、项目名称：</w:t>
      </w:r>
      <w:r>
        <w:rPr>
          <w:rFonts w:hint="eastAsia" w:ascii="仿宋" w:hAnsi="仿宋" w:eastAsia="仿宋" w:cs="仿宋"/>
          <w:sz w:val="24"/>
          <w:szCs w:val="24"/>
          <w:lang w:val="en-US" w:eastAsia="zh-CN"/>
        </w:rPr>
        <w:t>蒙牛乳业常温宿迁二期立体库附属弱电工程项目</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sz w:val="21"/>
          <w:szCs w:val="21"/>
        </w:rPr>
      </w:pPr>
      <w:r>
        <w:rPr>
          <w:rFonts w:hint="eastAsia" w:ascii="仿宋" w:hAnsi="仿宋" w:eastAsia="仿宋" w:cs="仿宋"/>
          <w:b/>
          <w:bCs/>
          <w:kern w:val="2"/>
          <w:sz w:val="24"/>
          <w:szCs w:val="24"/>
          <w:lang w:val="en-US" w:eastAsia="zh-CN" w:bidi="ar-SA"/>
        </w:rPr>
        <w:t>三、项目概况：</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概况：蒙牛乳制品江苏有限公司立体库、北门岗即将建设完成投入使用，需要建设相关网络基础设施、门禁满足立体库设备运行、办公和安全需求，厂区建设基础安防监控进行管理，需要对蒙牛乳制品江苏有限公司进行立体库附属弱电工程建设，满足立体库运行和办公最基本需求。</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w:t>
      </w:r>
      <w:r>
        <w:rPr>
          <w:rFonts w:hint="eastAsia" w:ascii="仿宋" w:hAnsi="仿宋" w:eastAsia="仿宋" w:cs="仿宋"/>
          <w:color w:val="000000"/>
          <w:sz w:val="24"/>
        </w:rPr>
        <w:t>范围：</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基于宿迁工厂的定位和实际情况，主要从弱电网络、安防功能设计：</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基于宿迁二期的现状需要规划并建设二期的弱电工程；</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2</w:t>
      </w:r>
      <w:r>
        <w:rPr>
          <w:rFonts w:hint="eastAsia" w:ascii="仿宋" w:hAnsi="仿宋" w:eastAsia="仿宋" w:cs="仿宋"/>
          <w:color w:val="000000"/>
          <w:sz w:val="24"/>
          <w:lang w:eastAsia="zh-CN"/>
        </w:rPr>
        <w:t>）</w:t>
      </w:r>
      <w:r>
        <w:rPr>
          <w:rFonts w:hint="eastAsia" w:ascii="仿宋" w:hAnsi="仿宋" w:eastAsia="仿宋" w:cs="仿宋"/>
          <w:color w:val="000000"/>
          <w:sz w:val="24"/>
        </w:rPr>
        <w:t>从整体规划整个园区的网络，包括生产网、安防网、办公网；</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通过弱电网络建设满足立体库系统上线需求，并对相关办公区进行网络覆盖，同时对厂区基础安防监控进行管理。</w:t>
      </w:r>
    </w:p>
    <w:p>
      <w:pPr>
        <w:spacing w:line="360" w:lineRule="auto"/>
        <w:ind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3、计划工期：</w:t>
      </w:r>
      <w:r>
        <w:rPr>
          <w:rFonts w:hint="eastAsia" w:ascii="仿宋" w:hAnsi="仿宋" w:eastAsia="仿宋" w:cs="仿宋"/>
          <w:color w:val="000000"/>
          <w:sz w:val="24"/>
        </w:rPr>
        <w:t>50日历天</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四、资格要求：</w:t>
      </w:r>
    </w:p>
    <w:p>
      <w:pPr>
        <w:spacing w:line="360" w:lineRule="auto"/>
        <w:ind w:firstLine="480" w:firstLineChars="200"/>
        <w:rPr>
          <w:rFonts w:hint="default" w:ascii="仿宋" w:hAnsi="仿宋" w:eastAsia="仿宋" w:cs="仿宋"/>
          <w:color w:val="000000"/>
          <w:sz w:val="24"/>
          <w:lang w:val="en-US"/>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必须是在中华人民共和国境内注册的具有独立法人资格的企事业单位，</w:t>
      </w:r>
      <w:r>
        <w:rPr>
          <w:rFonts w:hint="eastAsia" w:ascii="仿宋" w:hAnsi="仿宋" w:eastAsia="仿宋" w:cs="仿宋"/>
          <w:color w:val="000000"/>
          <w:sz w:val="24"/>
          <w:lang w:val="en-US" w:eastAsia="zh-CN"/>
        </w:rPr>
        <w:t>以企业营业执照为准，年检合格；且具有有效的</w:t>
      </w:r>
      <w:r>
        <w:rPr>
          <w:rFonts w:hint="eastAsia" w:ascii="仿宋" w:hAnsi="仿宋" w:eastAsia="仿宋" w:cs="仿宋"/>
          <w:sz w:val="24"/>
          <w:szCs w:val="24"/>
          <w:lang w:val="en-US" w:eastAsia="zh-CN"/>
        </w:rPr>
        <w:t>开户行许可证</w:t>
      </w:r>
      <w:r>
        <w:rPr>
          <w:rFonts w:hint="eastAsia" w:ascii="仿宋" w:hAnsi="仿宋" w:eastAsia="仿宋" w:cs="仿宋"/>
          <w:color w:val="000000"/>
          <w:sz w:val="24"/>
          <w:lang w:val="en-US" w:eastAsia="zh-CN"/>
        </w:rPr>
        <w:t>。</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须具有一般纳税人认定资格。</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授权委托人须为本企业在职人员；</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须具有建设行政主管部门颁发的通信工程施工总承包叁级及以上资质，或电子与智能化工程专业承包贰级及以上资质。</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拟派项目经理须为在本企业的注册建造师，具备二级及以上注册建造师执业资格和有效的安全生产考核合格证书（建安B”类证），并提供相应社保证明，且未在其他任何在建工程中任职。</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须具有2020至2022年或2021至2023年第三方财务审计报告；</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（7）</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2021年1月1日至今须具有两个及以上类似项目业绩（以合同为准）</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未被列入国家企业信用信息公示系统（http://www.gsxt.gov.cn/index.html）严重违法失信企业名单。</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（9）</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在“中华人民共和国应急管理部（https://www.mem.gov.cn/）”近一年内无公开曝光的安全事件；</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（10）</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严格执行国家有关安全生产的各项法律法规及行业管理条例，认真贯彻落实各项安全生产管理制度，近一年内，无安全生产失信行为和无被安全监督部门公开曝光的事件。</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11）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（12）本次项目不接受联合体竞</w:t>
      </w:r>
      <w:r>
        <w:rPr>
          <w:rFonts w:hint="eastAsia" w:ascii="仿宋" w:hAnsi="仿宋" w:eastAsia="仿宋" w:cs="仿宋"/>
          <w:color w:val="000000"/>
          <w:sz w:val="24"/>
          <w:lang w:val="en-US" w:eastAsia="zh-CN"/>
        </w:rPr>
        <w:t>价</w:t>
      </w:r>
      <w:r>
        <w:rPr>
          <w:rFonts w:hint="eastAsia" w:ascii="仿宋" w:hAnsi="仿宋" w:eastAsia="仿宋" w:cs="仿宋"/>
          <w:color w:val="000000"/>
          <w:sz w:val="24"/>
        </w:rPr>
        <w:t>，不允许分包或转包。</w:t>
      </w:r>
    </w:p>
    <w:p>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（13）不接受中粮及蒙牛供应商黑名单（以蒙牛集团招投标管理部下发的黑名单为准）的企业参与竞争。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color w:val="000000"/>
          <w:sz w:val="24"/>
        </w:rPr>
      </w:pPr>
      <w:r>
        <w:rPr>
          <w:rFonts w:hint="eastAsia" w:ascii="仿宋" w:hAnsi="仿宋" w:eastAsia="仿宋" w:cs="仿宋"/>
          <w:color w:val="000000"/>
          <w:sz w:val="24"/>
        </w:rPr>
        <w:t>（14）</w:t>
      </w:r>
      <w:r>
        <w:rPr>
          <w:rFonts w:hint="eastAsia" w:ascii="仿宋" w:hAnsi="仿宋" w:eastAsia="仿宋" w:cs="仿宋"/>
          <w:color w:val="000000"/>
          <w:sz w:val="24"/>
          <w:lang w:val="en-US" w:eastAsia="zh-CN"/>
        </w:rPr>
        <w:t>竞价人</w:t>
      </w:r>
      <w:r>
        <w:rPr>
          <w:rFonts w:hint="eastAsia" w:ascii="仿宋" w:hAnsi="仿宋" w:eastAsia="仿宋" w:cs="仿宋"/>
          <w:color w:val="000000"/>
          <w:sz w:val="24"/>
        </w:rPr>
        <w:t>须符合蒙牛集团《承包商安全管理制度》审查要求。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五、报名须知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1、报名资格文件的组成及顺序按照如下要求提供：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（1）提供有效的营业执照（副本）、有效的开户行许可证；</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（2）提供一般纳税人资格证明材料、并提供企业最近1年任意3个月的依法纳税证明材料和社保缴纳证明材料；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（3）提供法定代表人证明书或授权委托书原件；</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备注：法定代表人须上传法人证明材料及身份证原件扫描件，若为被授权人须上传一份法人授权委托书和身份证原件扫描件及授权委托人近一年内在本单位的社保证明材料。</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（4）提供建</w:t>
      </w:r>
      <w:r>
        <w:rPr>
          <w:rFonts w:hint="eastAsia" w:ascii="仿宋" w:hAnsi="仿宋" w:eastAsia="仿宋" w:cs="仿宋"/>
          <w:color w:val="000000"/>
          <w:sz w:val="24"/>
        </w:rPr>
        <w:t>设行政主管部门颁发的通信工程施工总承包叁级及以上资质，或电子与智能化工程专业承包贰级及以上资质</w:t>
      </w:r>
      <w:r>
        <w:rPr>
          <w:rFonts w:hint="eastAsia" w:ascii="仿宋" w:hAnsi="仿宋" w:eastAsia="仿宋" w:cs="仿宋"/>
          <w:sz w:val="24"/>
          <w:szCs w:val="24"/>
          <w:lang w:val="en-US" w:eastAsia="zh-CN"/>
        </w:rPr>
        <w:t>证明材料</w:t>
      </w:r>
      <w:r>
        <w:rPr>
          <w:rFonts w:hint="eastAsia" w:ascii="仿宋" w:hAnsi="仿宋" w:eastAsia="仿宋" w:cs="仿宋"/>
          <w:color w:val="0000FF"/>
          <w:sz w:val="24"/>
          <w:szCs w:val="24"/>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（5）提供拟派项目经理须为在本企业注册的建造师，</w:t>
      </w:r>
      <w:r>
        <w:rPr>
          <w:rFonts w:hint="eastAsia" w:ascii="仿宋" w:hAnsi="仿宋" w:eastAsia="仿宋" w:cs="仿宋"/>
          <w:color w:val="000000"/>
          <w:sz w:val="24"/>
        </w:rPr>
        <w:t>具备二级及以上注册建造师执业资格和有效的安全生产考核合格证书（建安B”类证），并提供相应社保证明，</w:t>
      </w:r>
      <w:r>
        <w:rPr>
          <w:rFonts w:hint="eastAsia" w:ascii="仿宋" w:hAnsi="仿宋" w:eastAsia="仿宋" w:cs="仿宋"/>
          <w:sz w:val="24"/>
          <w:szCs w:val="24"/>
          <w:lang w:val="en-US" w:eastAsia="zh-CN"/>
        </w:rPr>
        <w:t>且未在其他任何在建工程中任职；</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（6）提供近三年（2020至2022年或2021至2023年）经过第三方专业审计机构出具的财务审计报告；</w:t>
      </w:r>
    </w:p>
    <w:p>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highlight w:val="none"/>
          <w:lang w:val="en-US" w:eastAsia="zh-CN"/>
        </w:rPr>
        <w:t>）提供2021年1月1日至今至少两个类似项目业绩（以合同为准）</w:t>
      </w:r>
    </w:p>
    <w:p>
      <w:pPr>
        <w:pStyle w:val="18"/>
        <w:keepNext w:val="0"/>
        <w:keepLines w:val="0"/>
        <w:pageBreakBefore w:val="0"/>
        <w:widowControl w:val="0"/>
        <w:numPr>
          <w:ilvl w:val="0"/>
          <w:numId w:val="0"/>
        </w:numPr>
        <w:kinsoku w:val="0"/>
        <w:wordWrap/>
        <w:overflowPunct w:val="0"/>
        <w:topLinePunct w:val="0"/>
        <w:autoSpaceDE/>
        <w:autoSpaceDN w:val="0"/>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（8）提供竞价人未被列入国家企业信用信息公示系统（</w:t>
      </w:r>
      <w:r>
        <w:rPr>
          <w:rFonts w:hint="eastAsia" w:ascii="仿宋" w:hAnsi="仿宋" w:eastAsia="仿宋" w:cs="仿宋"/>
          <w:color w:val="auto"/>
          <w:sz w:val="24"/>
          <w:szCs w:val="24"/>
          <w:u w:val="none"/>
          <w:lang w:val="en-US" w:eastAsia="zh-CN"/>
        </w:rPr>
        <w:t>http://www.gsxt.gov.cn/index.html）严重违法失信企业名单</w:t>
      </w:r>
      <w:r>
        <w:rPr>
          <w:rFonts w:hint="eastAsia" w:ascii="仿宋" w:hAnsi="仿宋" w:eastAsia="仿宋" w:cs="仿宋"/>
          <w:sz w:val="24"/>
          <w:szCs w:val="24"/>
          <w:lang w:val="en-US" w:eastAsia="zh-CN"/>
        </w:rPr>
        <w:t>证明。</w:t>
      </w:r>
    </w:p>
    <w:p>
      <w:pPr>
        <w:pStyle w:val="15"/>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（9）</w:t>
      </w:r>
      <w:r>
        <w:rPr>
          <w:rFonts w:hint="eastAsia" w:ascii="仿宋" w:hAnsi="仿宋" w:eastAsia="仿宋" w:cs="仿宋"/>
          <w:sz w:val="24"/>
          <w:szCs w:val="24"/>
          <w:lang w:val="en-US" w:eastAsia="zh-CN"/>
        </w:rPr>
        <w:t>提供“中华人民共和国应急管理部（https://www.mem.gov.cn/）”近一年内无公开曝光的安全事件证明材料；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（10）提供安全生产承诺书</w:t>
      </w:r>
      <w:r>
        <w:rPr>
          <w:rFonts w:hint="eastAsia" w:ascii="仿宋" w:hAnsi="仿宋" w:eastAsia="仿宋" w:cs="仿宋"/>
          <w:color w:val="000000"/>
          <w:sz w:val="24"/>
          <w:szCs w:val="24"/>
        </w:rPr>
        <w:t>（附件</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（11）提供保密承诺书（附件2）</w:t>
      </w:r>
    </w:p>
    <w:p>
      <w:pPr>
        <w:pStyle w:val="18"/>
        <w:keepNext w:val="0"/>
        <w:keepLines w:val="0"/>
        <w:pageBreakBefore w:val="0"/>
        <w:widowControl w:val="0"/>
        <w:numPr>
          <w:ilvl w:val="0"/>
          <w:numId w:val="0"/>
        </w:numPr>
        <w:kinsoku w:val="0"/>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lang w:val="en-US" w:eastAsia="zh-CN"/>
        </w:rPr>
        <w:t>“蒙牛集团电子采购招标平台（</w:t>
      </w:r>
      <w:r>
        <w:rPr>
          <w:rFonts w:hint="eastAsia" w:ascii="仿宋" w:hAnsi="仿宋" w:eastAsia="仿宋" w:cs="仿宋"/>
          <w:color w:val="auto"/>
          <w:sz w:val="24"/>
          <w:szCs w:val="24"/>
          <w:u w:val="none"/>
          <w:lang w:val="en-US" w:eastAsia="zh-CN"/>
        </w:rPr>
        <w:t>https://zbcg.mengniu.cn/#/home</w:t>
      </w:r>
      <w:r>
        <w:rPr>
          <w:rFonts w:hint="eastAsia" w:ascii="仿宋" w:hAnsi="仿宋" w:eastAsia="仿宋" w:cs="仿宋"/>
          <w:sz w:val="24"/>
          <w:szCs w:val="24"/>
          <w:lang w:val="en-US" w:eastAsia="zh-CN"/>
        </w:rPr>
        <w:t xml:space="preserve"> ）”</w:t>
      </w:r>
      <w:bookmarkEnd w:id="0"/>
      <w:r>
        <w:rPr>
          <w:rFonts w:hint="eastAsia" w:ascii="仿宋" w:hAnsi="仿宋" w:eastAsia="仿宋" w:cs="仿宋"/>
          <w:sz w:val="24"/>
          <w:szCs w:val="24"/>
          <w:lang w:val="en-US" w:eastAsia="zh-CN"/>
        </w:rPr>
        <w:t>进行线上提交，进行资格审查（过期提交不予受理），审查合格后方可领取询报价单（仅作为发放询报价单的依据）。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    竞价人自领取询报价单之日起，应确保其向采购人或招标代理机构提供的通讯手段（电话、邮箱）一直有效，以保证往来函件能及时传达并及时反馈信息，否则由此引起的一切后果由竞价人承担。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2、报名方式：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在竞价人依据资格要求自主评估，符合条件的登录“蒙牛集团电子采购招标平台”进行网上报名、资格验证、下载询报价单、澄清答疑和参与竞价会等，过程中如有疑问可咨询平台服务支持或咨询采购方业务咨询联系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sz w:val="24"/>
          <w:szCs w:val="24"/>
          <w:lang w:val="en-US" w:eastAsia="zh-CN"/>
        </w:rPr>
        <w:t xml:space="preserve">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资料提供不全或者未按时间要求提报的将被拒绝接收，所提供的资质业绩文件中如有虚假情况，一经发现将被取消竞价资格。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竞价人自收到询报价单之日起，应确保其向采购人提供的通讯手段（电话、邮箱）一直有效，以保证往来函件能及时传达并及时反馈信息，否则由此引起的一切后果由人竞价人承担。</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六、项目时间安排及要求：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1、报名时间：</w:t>
      </w:r>
      <w:r>
        <w:rPr>
          <w:rFonts w:hint="eastAsia" w:ascii="仿宋" w:hAnsi="仿宋" w:eastAsia="仿宋" w:cs="仿宋"/>
          <w:sz w:val="24"/>
          <w:szCs w:val="24"/>
          <w:lang w:val="en-US" w:eastAsia="zh-CN"/>
        </w:rPr>
        <w:t>2024年6月11日12时0分0秒至2024年6月14日23时59分59秒；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2、资格预审时间：</w:t>
      </w:r>
      <w:r>
        <w:rPr>
          <w:rFonts w:hint="eastAsia" w:ascii="仿宋" w:hAnsi="仿宋" w:eastAsia="仿宋" w:cs="仿宋"/>
          <w:sz w:val="24"/>
          <w:szCs w:val="24"/>
          <w:lang w:val="en-US" w:eastAsia="zh-CN"/>
        </w:rPr>
        <w:t>2024年6月15日0时0分0秒至2024年6月16日12时0分0秒；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3、询价单发放时间：</w:t>
      </w:r>
      <w:r>
        <w:rPr>
          <w:rFonts w:hint="eastAsia" w:ascii="仿宋" w:hAnsi="仿宋" w:eastAsia="仿宋" w:cs="仿宋"/>
          <w:sz w:val="24"/>
          <w:szCs w:val="24"/>
          <w:lang w:val="en-US" w:eastAsia="zh-CN"/>
        </w:rPr>
        <w:t>2024年6月18日0时0分0秒至2024年6月20日23时59分59秒；</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4、比价时间</w:t>
      </w:r>
      <w:r>
        <w:rPr>
          <w:rFonts w:hint="eastAsia" w:ascii="仿宋" w:hAnsi="仿宋" w:eastAsia="仿宋" w:cs="仿宋"/>
          <w:sz w:val="24"/>
          <w:szCs w:val="24"/>
          <w:lang w:val="en-US" w:eastAsia="zh-CN"/>
        </w:rPr>
        <w:t>：2024年6月24日9:30时；</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color w:val="000000"/>
          <w:sz w:val="21"/>
          <w:szCs w:val="21"/>
          <w:lang w:val="en-US" w:eastAsia="zh-CN"/>
        </w:rPr>
      </w:pPr>
      <w:r>
        <w:rPr>
          <w:rFonts w:hint="eastAsia" w:ascii="仿宋" w:hAnsi="仿宋" w:eastAsia="仿宋" w:cs="仿宋"/>
          <w:b/>
          <w:bCs/>
          <w:kern w:val="2"/>
          <w:sz w:val="24"/>
          <w:szCs w:val="24"/>
          <w:lang w:val="en-US" w:eastAsia="zh-CN" w:bidi="ar-SA"/>
        </w:rPr>
        <w:t>七、询比价地点：</w:t>
      </w:r>
      <w:r>
        <w:rPr>
          <w:rFonts w:hint="eastAsia" w:ascii="仿宋" w:hAnsi="仿宋" w:eastAsia="仿宋" w:cs="仿宋"/>
          <w:kern w:val="2"/>
          <w:sz w:val="24"/>
          <w:szCs w:val="24"/>
          <w:lang w:val="en-US" w:eastAsia="zh-CN" w:bidi="ar-SA"/>
        </w:rPr>
        <w:t>蒙牛集团电子采购招标平台（https://zbcg.mengniu.cn/）</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八、发布媒体：</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中国招标投标公共服务平台（http://www.cebpubservice.com/）</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蒙牛集团电子招标采购交易平台（</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蒙牛官网（http://www.mengniu.com.cn）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蒙牛内部OA平台</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只在以上平台发布，其他任何媒体转载无效。</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九、采购招标实施方及联系方式：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采购方：</w:t>
      </w:r>
      <w:r>
        <w:rPr>
          <w:rFonts w:hint="eastAsia" w:ascii="仿宋" w:hAnsi="仿宋" w:eastAsia="仿宋" w:cs="仿宋"/>
          <w:sz w:val="24"/>
          <w:szCs w:val="24"/>
          <w:lang w:val="en-US" w:eastAsia="zh-CN"/>
        </w:rPr>
        <w:t>内蒙古蒙牛乳业（集团）股份有限公司</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业务咨询联系人：</w:t>
      </w:r>
      <w:r>
        <w:rPr>
          <w:rFonts w:hint="eastAsia" w:ascii="仿宋" w:hAnsi="仿宋" w:eastAsia="仿宋" w:cs="仿宋"/>
          <w:sz w:val="24"/>
          <w:szCs w:val="24"/>
          <w:lang w:val="en-US" w:eastAsia="zh-CN"/>
        </w:rPr>
        <w:t xml:space="preserve">张嘉馨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15148996062</w:t>
      </w:r>
    </w:p>
    <w:p>
      <w:pPr>
        <w:keepNext w:val="0"/>
        <w:keepLines w:val="0"/>
        <w:pageBreakBefore w:val="0"/>
        <w:kinsoku/>
        <w:overflowPunct/>
        <w:bidi w:val="0"/>
        <w:spacing w:line="460" w:lineRule="exact"/>
        <w:ind w:left="0" w:leftChars="0" w:right="0" w:righ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十、监督单位及联系方式：</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监督单位：</w:t>
      </w:r>
      <w:r>
        <w:rPr>
          <w:rFonts w:hint="eastAsia" w:ascii="仿宋" w:hAnsi="仿宋" w:eastAsia="仿宋" w:cs="仿宋"/>
          <w:sz w:val="24"/>
          <w:szCs w:val="24"/>
          <w:lang w:val="en-US" w:eastAsia="zh-CN"/>
        </w:rPr>
        <w:t>内蒙古蒙牛乳业（集团）股份有限公司采购招标管理部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异议/投诉服务网址：</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"https://zbcg.mengniu.cn/" \l "/home" \t "_blank"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https://zbcg.mengniu.cn/#/home</w:t>
      </w:r>
      <w:r>
        <w:rPr>
          <w:rFonts w:hint="eastAsia" w:ascii="仿宋" w:hAnsi="仿宋" w:eastAsia="仿宋" w:cs="仿宋"/>
          <w:sz w:val="24"/>
          <w:szCs w:val="24"/>
          <w:lang w:val="en-US" w:eastAsia="zh-CN"/>
        </w:rPr>
        <w:fldChar w:fldCharType="end"/>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监 督 人:</w:t>
      </w:r>
      <w:r>
        <w:rPr>
          <w:rFonts w:hint="eastAsia" w:ascii="仿宋" w:hAnsi="仿宋" w:eastAsia="仿宋" w:cs="仿宋"/>
          <w:sz w:val="24"/>
          <w:szCs w:val="24"/>
          <w:lang w:val="en-US" w:eastAsia="zh-CN"/>
        </w:rPr>
        <w:t xml:space="preserve">郑建东                        </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联系方式：</w:t>
      </w:r>
      <w:r>
        <w:rPr>
          <w:rFonts w:hint="eastAsia" w:ascii="仿宋" w:hAnsi="仿宋" w:eastAsia="仿宋" w:cs="仿宋"/>
          <w:sz w:val="24"/>
          <w:szCs w:val="24"/>
          <w:lang w:val="en-US" w:eastAsia="zh-CN"/>
        </w:rPr>
        <w:t>0471-7393642/15034927966</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电子邮件：</w:t>
      </w:r>
      <w:r>
        <w:rPr>
          <w:rFonts w:hint="eastAsia" w:ascii="仿宋" w:hAnsi="仿宋" w:eastAsia="仿宋" w:cs="仿宋"/>
          <w:sz w:val="24"/>
          <w:szCs w:val="24"/>
          <w:lang w:val="en-US" w:eastAsia="zh-CN"/>
        </w:rPr>
        <w:t>zhengjiandong@mengniu.cn</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kinsoku/>
        <w:overflowPunct/>
        <w:bidi w:val="0"/>
        <w:spacing w:line="460" w:lineRule="exact"/>
        <w:ind w:left="0" w:leftChars="0" w:right="0" w:rightChars="0" w:firstLine="422" w:firstLineChars="200"/>
        <w:jc w:val="left"/>
        <w:textAlignment w:val="auto"/>
        <w:rPr>
          <w:rFonts w:hint="eastAsia" w:ascii="仿宋" w:hAnsi="仿宋" w:eastAsia="仿宋" w:cs="仿宋"/>
          <w:b/>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附件：</w:t>
      </w:r>
      <w:r>
        <w:rPr>
          <w:rFonts w:hint="eastAsia" w:ascii="仿宋" w:hAnsi="仿宋" w:eastAsia="仿宋" w:cs="仿宋"/>
          <w:sz w:val="24"/>
          <w:szCs w:val="24"/>
          <w:lang w:val="en-US" w:eastAsia="zh-CN"/>
        </w:rPr>
        <w:t>1.安全生产承诺书</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1200" w:firstLineChars="5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2.保密承诺书</w:t>
      </w: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采购方：内蒙古蒙牛乳业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集团</w:t>
      </w:r>
      <w:r>
        <w:rPr>
          <w:rFonts w:hint="eastAsia" w:ascii="仿宋" w:hAnsi="仿宋" w:eastAsia="仿宋" w:cs="仿宋"/>
          <w:sz w:val="24"/>
          <w:szCs w:val="24"/>
          <w:lang w:eastAsia="zh-CN"/>
        </w:rPr>
        <w:t>）</w:t>
      </w:r>
      <w:r>
        <w:rPr>
          <w:rFonts w:hint="eastAsia" w:ascii="仿宋" w:hAnsi="仿宋" w:eastAsia="仿宋" w:cs="仿宋"/>
          <w:sz w:val="24"/>
          <w:szCs w:val="24"/>
        </w:rPr>
        <w:t>股份有限公司</w:t>
      </w:r>
    </w:p>
    <w:p>
      <w:pPr>
        <w:keepNext w:val="0"/>
        <w:keepLines w:val="0"/>
        <w:pageBreakBefore w:val="0"/>
        <w:kinsoku/>
        <w:wordWrap w:val="0"/>
        <w:overflowPunct/>
        <w:bidi w:val="0"/>
        <w:spacing w:line="460" w:lineRule="exact"/>
        <w:ind w:left="0" w:leftChars="0" w:right="0" w:rightChars="0" w:firstLine="480" w:firstLineChars="200"/>
        <w:jc w:val="right"/>
        <w:textAlignment w:val="auto"/>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br w:type="page"/>
      </w:r>
      <w:bookmarkStart w:id="1" w:name="_GoBack"/>
      <w:bookmarkEnd w:id="1"/>
    </w:p>
    <w:p>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附件1：</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安全生产承诺书</w:t>
      </w:r>
    </w:p>
    <w:p>
      <w:pPr>
        <w:pStyle w:val="15"/>
        <w:keepNext w:val="0"/>
        <w:keepLines w:val="0"/>
        <w:pageBreakBefore w:val="0"/>
        <w:kinsoku/>
        <w:overflowPunct/>
        <w:topLinePunct w:val="0"/>
        <w:bidi w:val="0"/>
        <w:spacing w:line="360" w:lineRule="auto"/>
        <w:ind w:left="0" w:leftChars="0" w:firstLine="480" w:firstLineChars="200"/>
        <w:rPr>
          <w:rFonts w:hint="eastAsia"/>
          <w:sz w:val="24"/>
          <w:szCs w:val="24"/>
        </w:rPr>
      </w:pPr>
    </w:p>
    <w:p>
      <w:pPr>
        <w:pStyle w:val="15"/>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内蒙古蒙牛乳业（集团）股份有限公司</w:t>
      </w:r>
    </w:p>
    <w:p>
      <w:pPr>
        <w:pStyle w:val="15"/>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我公司郑重承诺：我公司在经营期间，</w:t>
      </w:r>
      <w:r>
        <w:rPr>
          <w:rFonts w:hint="eastAsia" w:ascii="仿宋" w:hAnsi="仿宋" w:eastAsia="仿宋" w:cs="仿宋"/>
          <w:sz w:val="24"/>
          <w:szCs w:val="24"/>
          <w:lang w:val="en-US" w:eastAsia="zh-CN"/>
        </w:rPr>
        <w:t>严格执行国家有关安全生产的各项法律法规及行业管理条例，认真贯彻落实各项安全生产管理制度，所提供的所有信息资料真实有效，近一年内，无安全生产失信行为和无被安全监督部门公开曝光的事件。</w:t>
      </w:r>
    </w:p>
    <w:p>
      <w:pPr>
        <w:pStyle w:val="15"/>
        <w:keepNext w:val="0"/>
        <w:keepLines w:val="0"/>
        <w:pageBreakBefore w:val="0"/>
        <w:kinsoku/>
        <w:overflowPunct/>
        <w:topLinePunct w:val="0"/>
        <w:bidi w:val="0"/>
        <w:spacing w:line="360" w:lineRule="auto"/>
        <w:ind w:left="0" w:leftChars="0"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如以上承诺经查不实，我公司愿意承担由此造成的一切后果。</w:t>
      </w:r>
    </w:p>
    <w:p>
      <w:pPr>
        <w:pStyle w:val="15"/>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p>
    <w:p>
      <w:pPr>
        <w:pStyle w:val="15"/>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特此承诺！</w:t>
      </w:r>
    </w:p>
    <w:p>
      <w:pPr>
        <w:pStyle w:val="15"/>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p>
    <w:p>
      <w:pPr>
        <w:pStyle w:val="15"/>
        <w:keepNext w:val="0"/>
        <w:keepLines w:val="0"/>
        <w:pageBreakBefore w:val="0"/>
        <w:kinsoku/>
        <w:overflowPunct/>
        <w:topLinePunct w:val="0"/>
        <w:bidi w:val="0"/>
        <w:spacing w:line="360" w:lineRule="auto"/>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投标人：（加盖公章）</w:t>
      </w:r>
    </w:p>
    <w:p>
      <w:pPr>
        <w:pStyle w:val="15"/>
        <w:keepNext w:val="0"/>
        <w:keepLines w:val="0"/>
        <w:pageBreakBefore w:val="0"/>
        <w:kinsoku/>
        <w:overflowPunct/>
        <w:topLinePunct w:val="0"/>
        <w:bidi w:val="0"/>
        <w:spacing w:line="360" w:lineRule="auto"/>
        <w:ind w:left="0" w:leftChars="0" w:firstLine="480" w:firstLineChars="20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日   期：    年  月  日</w:t>
      </w:r>
    </w:p>
    <w:p>
      <w:pPr>
        <w:pStyle w:val="15"/>
        <w:spacing w:line="360" w:lineRule="auto"/>
        <w:rPr>
          <w:rFonts w:hint="eastAsia" w:ascii="仿宋" w:hAnsi="仿宋" w:eastAsia="仿宋" w:cs="仿宋"/>
          <w:color w:val="000000"/>
          <w:sz w:val="24"/>
          <w:szCs w:val="24"/>
          <w:lang w:val="en-US" w:eastAsia="zh-CN"/>
        </w:rPr>
      </w:pPr>
    </w:p>
    <w:p>
      <w:pPr>
        <w:pStyle w:val="3"/>
        <w:keepNext w:val="0"/>
        <w:keepLines w:val="0"/>
        <w:pageBreakBefore w:val="0"/>
        <w:widowControl w:val="0"/>
        <w:kinsoku/>
        <w:wordWrap/>
        <w:overflowPunct/>
        <w:topLinePunct/>
        <w:autoSpaceDE/>
        <w:autoSpaceDN/>
        <w:bidi w:val="0"/>
        <w:adjustRightInd w:val="0"/>
        <w:snapToGrid w:val="0"/>
        <w:spacing w:line="360" w:lineRule="auto"/>
        <w:ind w:right="0"/>
        <w:textAlignment w:val="auto"/>
        <w:rPr>
          <w:rFonts w:hint="eastAsia" w:ascii="仿宋" w:hAnsi="仿宋" w:eastAsia="仿宋" w:cs="仿宋"/>
          <w:sz w:val="24"/>
          <w:szCs w:val="24"/>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pPr>
        <w:rPr>
          <w:rFonts w:hint="eastAsia" w:ascii="仿宋" w:hAnsi="仿宋" w:eastAsia="仿宋" w:cs="仿宋"/>
          <w:sz w:val="21"/>
          <w:szCs w:val="21"/>
        </w:rPr>
      </w:pPr>
    </w:p>
    <w:p>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r>
        <w:rPr>
          <w:rFonts w:hint="eastAsia" w:ascii="仿宋" w:hAnsi="仿宋" w:eastAsia="仿宋" w:cs="仿宋"/>
          <w:sz w:val="21"/>
          <w:szCs w:val="21"/>
        </w:rPr>
        <w:t>附件2：</w:t>
      </w:r>
    </w:p>
    <w:p>
      <w:pPr>
        <w:keepNext w:val="0"/>
        <w:keepLines w:val="0"/>
        <w:pageBreakBefore w:val="0"/>
        <w:widowControl/>
        <w:kinsoku/>
        <w:overflowPunct/>
        <w:bidi w:val="0"/>
        <w:adjustRightInd w:val="0"/>
        <w:snapToGrid w:val="0"/>
        <w:spacing w:line="460" w:lineRule="exact"/>
        <w:jc w:val="center"/>
        <w:textAlignment w:val="baseline"/>
        <w:rPr>
          <w:rFonts w:hint="eastAsia" w:ascii="仿宋" w:hAnsi="仿宋" w:eastAsia="仿宋" w:cs="仿宋"/>
          <w:b/>
          <w:kern w:val="0"/>
          <w:sz w:val="21"/>
          <w:szCs w:val="21"/>
        </w:rPr>
      </w:pPr>
      <w:r>
        <w:rPr>
          <w:rFonts w:hint="eastAsia" w:ascii="仿宋" w:hAnsi="仿宋" w:eastAsia="仿宋" w:cs="仿宋"/>
          <w:b/>
          <w:kern w:val="0"/>
          <w:sz w:val="21"/>
          <w:szCs w:val="21"/>
        </w:rPr>
        <w:t>保密承诺书</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甲方：</w:t>
      </w:r>
      <w:r>
        <w:rPr>
          <w:rFonts w:hint="eastAsia" w:ascii="仿宋" w:hAnsi="仿宋" w:eastAsia="仿宋" w:cs="仿宋"/>
          <w:color w:val="000000"/>
          <w:kern w:val="0"/>
          <w:sz w:val="21"/>
          <w:szCs w:val="21"/>
          <w:highlight w:val="none"/>
        </w:rPr>
        <w:t xml:space="preserve">内蒙古蒙牛乳业(集团)股份有限公司 </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jc w:val="left"/>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地址：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甲乙双方就</w:t>
      </w:r>
      <w:r>
        <w:rPr>
          <w:rFonts w:hint="eastAsia" w:ascii="仿宋" w:hAnsi="仿宋" w:eastAsia="仿宋" w:cs="仿宋"/>
          <w:color w:val="000000"/>
          <w:kern w:val="0"/>
          <w:sz w:val="21"/>
          <w:szCs w:val="21"/>
          <w:lang w:val="en-US" w:eastAsia="zh-CN"/>
        </w:rPr>
        <w:t>蒙牛乳业常温宿迁二期立体库附属弱电工程项目</w:t>
      </w:r>
      <w:r>
        <w:rPr>
          <w:rFonts w:hint="eastAsia" w:ascii="仿宋" w:hAnsi="仿宋" w:eastAsia="仿宋" w:cs="仿宋"/>
          <w:color w:val="000000"/>
          <w:kern w:val="0"/>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一、定义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（一）由乙方以书面文件证明：该等信息已于披露之前已由乙方所持有；</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（二）已公开发表或非因乙方作为或不作为的原因，已向公众披露；</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（三）已由甲方书面同意乙方公开；</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（四）由乙方在未使用该等机密信息的情形下独立开发；</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（五）乙方从第三方处合法、正当地取得，且该第三方对该等机密信息不承担保密义务。</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二、保密</w:t>
      </w:r>
    </w:p>
    <w:p>
      <w:pPr>
        <w:pStyle w:val="9"/>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1"/>
          <w:szCs w:val="21"/>
        </w:rPr>
        <w:t xml:space="preserve">  </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三、公开</w:t>
      </w:r>
    </w:p>
    <w:p>
      <w:pPr>
        <w:pStyle w:val="9"/>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1"/>
          <w:szCs w:val="21"/>
        </w:rPr>
        <w:t xml:space="preserve">                                                                                                                                                               </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四、强制性披露</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五、返还资料</w:t>
      </w:r>
    </w:p>
    <w:p>
      <w:pPr>
        <w:pStyle w:val="5"/>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在承诺书目的终止、撤消、完成、被拒绝或以其他方式解除后，根据甲方的书面要求，乙方应在项目谈判协商终止后的</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六、非授权许可</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除为查阅或使用机密信息以达成本承诺书目的之权利外，本承诺书中甲方未将专利权、版权、商业秘密或其他知识产权项下权利转让给乙方，同时也未将甲方的机密信息内所含或所属的权利转让给乙方。</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七、义务限定</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本承诺书不得被视作或解释为甲方有义务向乙方提供任何信息、与乙方进行商业交易或签订任何最终协议，除非甲方决定向乙方提供信息或与其签订与交易有关的最终协议。</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八、信息准确性</w:t>
      </w:r>
    </w:p>
    <w:p>
      <w:pPr>
        <w:keepNext w:val="0"/>
        <w:keepLines w:val="0"/>
        <w:pageBreakBefore w:val="0"/>
        <w:kinsoku/>
        <w:overflowPunct/>
        <w:bidi w:val="0"/>
        <w:spacing w:line="460" w:lineRule="exact"/>
        <w:ind w:firstLine="420" w:firstLineChars="200"/>
        <w:rPr>
          <w:rFonts w:hint="eastAsia" w:ascii="仿宋" w:hAnsi="仿宋" w:eastAsia="仿宋" w:cs="仿宋"/>
          <w:sz w:val="21"/>
          <w:szCs w:val="21"/>
        </w:rPr>
      </w:pPr>
      <w:r>
        <w:rPr>
          <w:rFonts w:hint="eastAsia" w:ascii="仿宋" w:hAnsi="仿宋" w:eastAsia="仿宋" w:cs="仿宋"/>
          <w:color w:val="000000"/>
          <w:kern w:val="0"/>
          <w:sz w:val="21"/>
          <w:szCs w:val="21"/>
        </w:rPr>
        <w:t>甲方、甲方的子公司及分公司并未就其向乙方披露的任何机密信息的准确性、可靠性及完整性作出明示或暗示的声明或保证，且对乙方、其代表人员或其他使用该等机密信息的人员不承担任何责任。</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九、期限</w:t>
      </w:r>
    </w:p>
    <w:p>
      <w:pPr>
        <w:pStyle w:val="5"/>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本承诺书中乙方之保密义务应自乙方收到机密信息之日起</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5</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年内持续有效，且不因承诺书目的之达成而终止。</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十、补充条款</w:t>
      </w:r>
    </w:p>
    <w:p>
      <w:pPr>
        <w:pStyle w:val="4"/>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（一）合规条款</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2、履约行为合规承诺：乙方承诺具有履行本承诺书约定的能力，且履行行为符合现行法律法规等规范性文件的要求。</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4、合规检查：乙方应积极配合甲方的合规检查，理解并接受甲方对乙方的合规管理要求，同意配合合规检查，并不得隐瞒任何可能对甲方利益造成影响的信息。</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5、劳动用工:</w:t>
      </w:r>
      <w:r>
        <w:rPr>
          <w:rFonts w:hint="eastAsia" w:ascii="仿宋" w:hAnsi="仿宋" w:eastAsia="仿宋" w:cs="仿宋"/>
          <w:sz w:val="21"/>
          <w:szCs w:val="21"/>
        </w:rPr>
        <w:t xml:space="preserve"> </w:t>
      </w:r>
      <w:r>
        <w:rPr>
          <w:rFonts w:hint="eastAsia" w:ascii="仿宋" w:hAnsi="仿宋" w:eastAsia="仿宋" w:cs="仿宋"/>
          <w:color w:val="000000"/>
          <w:sz w:val="21"/>
          <w:szCs w:val="21"/>
        </w:rPr>
        <w:t>乙方承诺不雇佣、使用童工，保障其员工的劳动合法权益，不纵容、支持、实施歧视、威胁员工的行为或发布相关言论。</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7、严格约束乙方员工及其代理人：乙方承诺严格遵守合规承诺条款，若乙方员工及乙方的代理人或代理机构违反相关承诺即视为乙方违反。</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10、责任承担：如果乙方违反前述合规承诺条款，甲方有权要求乙方承担因此而给甲方造成的全部损失。</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12、适用原则：本承诺书中合规条款对乙方的要求与承诺书中其他条款不一致的，以对乙方要求更高的条款为准。</w:t>
      </w:r>
    </w:p>
    <w:p>
      <w:pPr>
        <w:pStyle w:val="4"/>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sz w:val="21"/>
          <w:szCs w:val="21"/>
        </w:rPr>
      </w:pPr>
      <w:r>
        <w:rPr>
          <w:rFonts w:hint="eastAsia" w:ascii="仿宋" w:hAnsi="仿宋" w:eastAsia="仿宋" w:cs="仿宋"/>
          <w:b/>
          <w:color w:val="000000"/>
          <w:sz w:val="21"/>
          <w:szCs w:val="21"/>
        </w:rPr>
        <w:t>（二）环境保护</w:t>
      </w:r>
    </w:p>
    <w:p>
      <w:pPr>
        <w:keepNext w:val="0"/>
        <w:keepLines w:val="0"/>
        <w:pageBreakBefore w:val="0"/>
        <w:kinsoku/>
        <w:overflowPunct/>
        <w:bidi w:val="0"/>
        <w:spacing w:line="460" w:lineRule="exact"/>
        <w:ind w:left="0" w:leftChars="0" w:firstLine="420" w:firstLineChars="200"/>
        <w:rPr>
          <w:rFonts w:hint="eastAsia" w:ascii="仿宋" w:hAnsi="仿宋" w:eastAsia="仿宋" w:cs="仿宋"/>
          <w:sz w:val="21"/>
          <w:szCs w:val="21"/>
        </w:rPr>
      </w:pPr>
      <w:r>
        <w:rPr>
          <w:rFonts w:hint="eastAsia" w:ascii="仿宋" w:hAnsi="仿宋" w:eastAsia="仿宋" w:cs="仿宋"/>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sz w:val="21"/>
          <w:szCs w:val="21"/>
        </w:rPr>
      </w:pPr>
      <w:r>
        <w:rPr>
          <w:rFonts w:hint="eastAsia" w:ascii="仿宋" w:hAnsi="仿宋" w:eastAsia="仿宋" w:cs="仿宋"/>
          <w:b/>
          <w:sz w:val="21"/>
          <w:szCs w:val="21"/>
        </w:rPr>
        <w:t>（三）附件法律效力条款</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sz w:val="21"/>
          <w:szCs w:val="21"/>
        </w:rPr>
        <w:t>本着接受法律上之约束的意向，双方特此同意本承诺书全部附录、附件等均为本承诺书不可分割的部分，共同构成双方就达成的全部承诺书，与本承诺书具有同等法律效力。</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十一、适用法律</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u w:val="single"/>
          <w:lang w:val="en-US" w:eastAsia="zh-CN"/>
        </w:rPr>
        <w:t>一</w:t>
      </w:r>
      <w:r>
        <w:rPr>
          <w:rFonts w:hint="eastAsia" w:ascii="仿宋" w:hAnsi="仿宋" w:eastAsia="仿宋" w:cs="仿宋"/>
          <w:color w:val="000000"/>
          <w:kern w:val="0"/>
          <w:sz w:val="21"/>
          <w:szCs w:val="21"/>
          <w:u w:val="single"/>
        </w:rPr>
        <w:t xml:space="preserve"> 】</w:t>
      </w:r>
      <w:r>
        <w:rPr>
          <w:rFonts w:hint="eastAsia" w:ascii="仿宋" w:hAnsi="仿宋" w:eastAsia="仿宋" w:cs="仿宋"/>
          <w:color w:val="000000"/>
          <w:kern w:val="0"/>
          <w:sz w:val="21"/>
          <w:szCs w:val="21"/>
        </w:rPr>
        <w:t>种方式解决：</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（一）向呼和浩特仲裁委员会申请仲裁。因仲裁产生的包括但不限于仲裁费、律师费、调查费、差旅费等，由乙方承担。</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（二）向甲方所在地有管辖权的人民法院提起诉讼。因诉讼产生的包括但不限于诉讼费、律师费、调查费、差旅费等，由乙方承担。</w:t>
      </w:r>
    </w:p>
    <w:p>
      <w:pPr>
        <w:pStyle w:val="4"/>
        <w:keepNext w:val="0"/>
        <w:keepLines w:val="0"/>
        <w:pageBreakBefore w:val="0"/>
        <w:widowControl w:val="0"/>
        <w:kinsoku/>
        <w:wordWrap/>
        <w:overflowPunct/>
        <w:topLinePunct w:val="0"/>
        <w:autoSpaceDE/>
        <w:autoSpaceDN/>
        <w:bidi w:val="0"/>
        <w:adjustRightInd/>
        <w:snapToGrid/>
        <w:spacing w:after="0" w:line="460" w:lineRule="exact"/>
        <w:ind w:left="0" w:leftChars="0" w:firstLine="422" w:firstLineChars="200"/>
        <w:textAlignment w:val="auto"/>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十二、违约责任及救济</w:t>
      </w:r>
    </w:p>
    <w:p>
      <w:pPr>
        <w:keepNext w:val="0"/>
        <w:keepLines w:val="0"/>
        <w:pageBreakBefore w:val="0"/>
        <w:kinsoku/>
        <w:overflowPunct/>
        <w:bidi w:val="0"/>
        <w:spacing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overflowPunct/>
        <w:bidi w:val="0"/>
        <w:spacing w:line="460" w:lineRule="exact"/>
        <w:ind w:left="0" w:leftChars="0" w:firstLine="422" w:firstLineChars="200"/>
        <w:rPr>
          <w:rFonts w:hint="eastAsia" w:ascii="仿宋" w:hAnsi="仿宋" w:eastAsia="仿宋" w:cs="仿宋"/>
          <w:color w:val="000000"/>
          <w:kern w:val="0"/>
          <w:sz w:val="21"/>
          <w:szCs w:val="21"/>
        </w:rPr>
      </w:pPr>
      <w:r>
        <w:rPr>
          <w:rFonts w:hint="eastAsia" w:ascii="仿宋" w:hAnsi="仿宋" w:eastAsia="仿宋" w:cs="仿宋"/>
          <w:b/>
          <w:color w:val="000000"/>
          <w:kern w:val="0"/>
          <w:sz w:val="21"/>
          <w:szCs w:val="21"/>
        </w:rPr>
        <w:t>如果</w:t>
      </w:r>
      <w:r>
        <w:rPr>
          <w:rFonts w:hint="eastAsia" w:ascii="仿宋" w:hAnsi="仿宋" w:eastAsia="仿宋" w:cs="仿宋"/>
          <w:b/>
          <w:bCs/>
          <w:color w:val="000000"/>
          <w:kern w:val="0"/>
          <w:sz w:val="21"/>
          <w:szCs w:val="21"/>
        </w:rPr>
        <w:t>乙方</w:t>
      </w:r>
      <w:r>
        <w:rPr>
          <w:rFonts w:hint="eastAsia" w:ascii="仿宋" w:hAnsi="仿宋" w:eastAsia="仿宋" w:cs="仿宋"/>
          <w:b/>
          <w:color w:val="000000"/>
          <w:kern w:val="0"/>
          <w:sz w:val="21"/>
          <w:szCs w:val="21"/>
        </w:rPr>
        <w:t>违反本承诺书的任何规定情形,则甲方有权将乙方拉入蒙牛供应商黑名单，乙方应积极配合甲方在10个工作日内收回已经泄露的信息。</w:t>
      </w:r>
    </w:p>
    <w:p>
      <w:pPr>
        <w:pStyle w:val="4"/>
        <w:keepNext w:val="0"/>
        <w:keepLines w:val="0"/>
        <w:pageBreakBefore w:val="0"/>
        <w:kinsoku/>
        <w:overflowPunct/>
        <w:bidi w:val="0"/>
        <w:spacing w:after="0" w:line="460" w:lineRule="exact"/>
        <w:ind w:left="0" w:leftChars="0" w:firstLine="422" w:firstLineChars="200"/>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十三、生效及份数</w:t>
      </w:r>
    </w:p>
    <w:p>
      <w:pPr>
        <w:pStyle w:val="4"/>
        <w:keepNext w:val="0"/>
        <w:keepLines w:val="0"/>
        <w:pageBreakBefore w:val="0"/>
        <w:kinsoku/>
        <w:overflowPunct/>
        <w:bidi w:val="0"/>
        <w:spacing w:after="0" w:line="460" w:lineRule="exact"/>
        <w:ind w:left="0" w:leftChars="0" w:firstLine="420" w:firstLineChars="20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本承诺书经乙方签字盖章之日起生效。</w:t>
      </w:r>
    </w:p>
    <w:p>
      <w:pPr>
        <w:keepNext w:val="0"/>
        <w:keepLines w:val="0"/>
        <w:pageBreakBefore w:val="0"/>
        <w:kinsoku/>
        <w:overflowPunct/>
        <w:bidi w:val="0"/>
        <w:spacing w:line="460" w:lineRule="exact"/>
        <w:ind w:left="0" w:leftChars="0" w:firstLine="422" w:firstLineChars="200"/>
        <w:rPr>
          <w:rFonts w:hint="eastAsia" w:ascii="仿宋" w:hAnsi="仿宋" w:eastAsia="仿宋" w:cs="仿宋"/>
          <w:b/>
          <w:bCs/>
          <w:sz w:val="21"/>
          <w:szCs w:val="21"/>
        </w:rPr>
      </w:pP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（以下无正文）</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ab/>
      </w:r>
      <w:r>
        <w:rPr>
          <w:rFonts w:hint="eastAsia" w:ascii="仿宋" w:hAnsi="仿宋" w:eastAsia="仿宋" w:cs="仿宋"/>
          <w:color w:val="000000"/>
          <w:kern w:val="0"/>
          <w:sz w:val="21"/>
          <w:szCs w:val="21"/>
        </w:rPr>
        <w:t xml:space="preserve">                            </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乙方（承诺方）：</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代表人：</w:t>
      </w:r>
    </w:p>
    <w:p>
      <w:pPr>
        <w:keepNext w:val="0"/>
        <w:keepLines w:val="0"/>
        <w:pageBreakBefore w:val="0"/>
        <w:widowControl/>
        <w:kinsoku/>
        <w:overflowPunct/>
        <w:bidi w:val="0"/>
        <w:adjustRightInd w:val="0"/>
        <w:snapToGrid w:val="0"/>
        <w:spacing w:line="460" w:lineRule="exact"/>
        <w:ind w:left="0" w:leftChars="0" w:firstLine="420" w:firstLineChars="200"/>
        <w:textAlignment w:val="baseline"/>
        <w:rPr>
          <w:rFonts w:hint="eastAsia" w:ascii="仿宋" w:hAnsi="仿宋" w:eastAsia="仿宋" w:cs="仿宋"/>
          <w:sz w:val="21"/>
          <w:szCs w:val="21"/>
        </w:rPr>
      </w:pPr>
      <w:r>
        <w:rPr>
          <w:rFonts w:hint="eastAsia" w:ascii="仿宋" w:hAnsi="仿宋" w:eastAsia="仿宋" w:cs="仿宋"/>
          <w:color w:val="000000"/>
          <w:kern w:val="0"/>
          <w:sz w:val="21"/>
          <w:szCs w:val="21"/>
        </w:rPr>
        <w:t>日期：</w:t>
      </w:r>
    </w:p>
    <w:p>
      <w:pPr>
        <w:keepNext w:val="0"/>
        <w:keepLines w:val="0"/>
        <w:pageBreakBefore w:val="0"/>
        <w:kinsoku/>
        <w:overflowPunct/>
        <w:bidi w:val="0"/>
        <w:spacing w:line="460" w:lineRule="exact"/>
        <w:ind w:left="0" w:leftChars="0" w:firstLine="420" w:firstLineChars="200"/>
        <w:rPr>
          <w:rFonts w:hint="eastAsia" w:ascii="楷体_GB2312" w:hAnsi="宋体" w:eastAsia="楷体_GB2312"/>
          <w:sz w:val="21"/>
          <w:szCs w:val="21"/>
        </w:rPr>
      </w:pPr>
    </w:p>
    <w:p>
      <w:pPr>
        <w:pStyle w:val="3"/>
        <w:keepNext w:val="0"/>
        <w:keepLines w:val="0"/>
        <w:pageBreakBefore w:val="0"/>
        <w:kinsoku/>
        <w:overflowPunct/>
        <w:topLinePunct/>
        <w:bidi w:val="0"/>
        <w:adjustRightInd w:val="0"/>
        <w:snapToGrid w:val="0"/>
        <w:spacing w:line="460" w:lineRule="exact"/>
        <w:ind w:left="0" w:leftChars="0" w:right="0" w:rightChars="0" w:firstLine="420" w:firstLineChars="200"/>
        <w:textAlignment w:val="auto"/>
        <w:rPr>
          <w:rFonts w:hint="eastAsia" w:ascii="仿宋" w:hAnsi="仿宋" w:eastAsia="仿宋" w:cs="仿宋"/>
          <w:sz w:val="21"/>
          <w:szCs w:val="21"/>
        </w:rPr>
      </w:pPr>
      <w:r>
        <w:rPr>
          <w:rFonts w:hint="eastAsia" w:ascii="楷体_GB2312" w:hAnsi="仿宋" w:eastAsia="楷体_GB2312"/>
          <w:sz w:val="21"/>
          <w:szCs w:val="21"/>
        </w:rPr>
        <w:t>　　　　　　　　　　　　　</w:t>
      </w:r>
    </w:p>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MTUxYjU2YjM0YzYzZGM2N2VkNDk0NGUxNWE4NWUifQ=="/>
  </w:docVars>
  <w:rsids>
    <w:rsidRoot w:val="000F4331"/>
    <w:rsid w:val="00070451"/>
    <w:rsid w:val="00092E93"/>
    <w:rsid w:val="000F4331"/>
    <w:rsid w:val="00106509"/>
    <w:rsid w:val="00114A49"/>
    <w:rsid w:val="00125794"/>
    <w:rsid w:val="00154039"/>
    <w:rsid w:val="00173167"/>
    <w:rsid w:val="001B6352"/>
    <w:rsid w:val="001D3E3F"/>
    <w:rsid w:val="0021010E"/>
    <w:rsid w:val="0024228C"/>
    <w:rsid w:val="002471ED"/>
    <w:rsid w:val="00276E33"/>
    <w:rsid w:val="0028225C"/>
    <w:rsid w:val="0029371A"/>
    <w:rsid w:val="002D4C85"/>
    <w:rsid w:val="00334CBB"/>
    <w:rsid w:val="0033564C"/>
    <w:rsid w:val="0034534E"/>
    <w:rsid w:val="00346C2D"/>
    <w:rsid w:val="0038487B"/>
    <w:rsid w:val="003B6EF3"/>
    <w:rsid w:val="003F4823"/>
    <w:rsid w:val="0041481A"/>
    <w:rsid w:val="00443121"/>
    <w:rsid w:val="004522A4"/>
    <w:rsid w:val="004631BA"/>
    <w:rsid w:val="00467241"/>
    <w:rsid w:val="00472CCC"/>
    <w:rsid w:val="004C38AE"/>
    <w:rsid w:val="00570DEA"/>
    <w:rsid w:val="005831E4"/>
    <w:rsid w:val="005D6697"/>
    <w:rsid w:val="00657C10"/>
    <w:rsid w:val="00666EE6"/>
    <w:rsid w:val="00667FF2"/>
    <w:rsid w:val="00671957"/>
    <w:rsid w:val="006945F3"/>
    <w:rsid w:val="006B6C3A"/>
    <w:rsid w:val="006C345F"/>
    <w:rsid w:val="00727111"/>
    <w:rsid w:val="007A53D7"/>
    <w:rsid w:val="007B6B47"/>
    <w:rsid w:val="008107ED"/>
    <w:rsid w:val="0082709A"/>
    <w:rsid w:val="008951B8"/>
    <w:rsid w:val="008A71C1"/>
    <w:rsid w:val="00912D0A"/>
    <w:rsid w:val="00964DED"/>
    <w:rsid w:val="00975D66"/>
    <w:rsid w:val="0098500F"/>
    <w:rsid w:val="009A53E0"/>
    <w:rsid w:val="009C0E42"/>
    <w:rsid w:val="009E0A16"/>
    <w:rsid w:val="00AB418C"/>
    <w:rsid w:val="00AB7B2B"/>
    <w:rsid w:val="00AC49D0"/>
    <w:rsid w:val="00AD0824"/>
    <w:rsid w:val="00AD565F"/>
    <w:rsid w:val="00AF61E6"/>
    <w:rsid w:val="00B3033E"/>
    <w:rsid w:val="00B54CF7"/>
    <w:rsid w:val="00BB598C"/>
    <w:rsid w:val="00C23AF0"/>
    <w:rsid w:val="00C42B89"/>
    <w:rsid w:val="00C60722"/>
    <w:rsid w:val="00C7129A"/>
    <w:rsid w:val="00DC0575"/>
    <w:rsid w:val="00E03B81"/>
    <w:rsid w:val="00E13822"/>
    <w:rsid w:val="00EA1469"/>
    <w:rsid w:val="00EA389B"/>
    <w:rsid w:val="00ED6E48"/>
    <w:rsid w:val="00EF0456"/>
    <w:rsid w:val="00F1123A"/>
    <w:rsid w:val="00FD24A5"/>
    <w:rsid w:val="018954EA"/>
    <w:rsid w:val="01B166F6"/>
    <w:rsid w:val="033C0E47"/>
    <w:rsid w:val="047540F8"/>
    <w:rsid w:val="05D15782"/>
    <w:rsid w:val="067F1777"/>
    <w:rsid w:val="077566D6"/>
    <w:rsid w:val="08B33959"/>
    <w:rsid w:val="0C965492"/>
    <w:rsid w:val="0D360258"/>
    <w:rsid w:val="0D3957E6"/>
    <w:rsid w:val="0EC817E1"/>
    <w:rsid w:val="0F384BB8"/>
    <w:rsid w:val="0F576528"/>
    <w:rsid w:val="0F625791"/>
    <w:rsid w:val="10537E12"/>
    <w:rsid w:val="10563548"/>
    <w:rsid w:val="11D0732A"/>
    <w:rsid w:val="11FB6447"/>
    <w:rsid w:val="12386C7D"/>
    <w:rsid w:val="12A04F4F"/>
    <w:rsid w:val="13734411"/>
    <w:rsid w:val="13AC7923"/>
    <w:rsid w:val="140B289C"/>
    <w:rsid w:val="142918A0"/>
    <w:rsid w:val="14642650"/>
    <w:rsid w:val="14FE7D0A"/>
    <w:rsid w:val="155E4C4D"/>
    <w:rsid w:val="17D47448"/>
    <w:rsid w:val="181B3609"/>
    <w:rsid w:val="18AB63FB"/>
    <w:rsid w:val="19E33973"/>
    <w:rsid w:val="1C4E1880"/>
    <w:rsid w:val="1C646FED"/>
    <w:rsid w:val="1CFB2856"/>
    <w:rsid w:val="1D230C56"/>
    <w:rsid w:val="1DCC309C"/>
    <w:rsid w:val="1E660528"/>
    <w:rsid w:val="1F525822"/>
    <w:rsid w:val="1FB42039"/>
    <w:rsid w:val="210C1A01"/>
    <w:rsid w:val="212C1A8E"/>
    <w:rsid w:val="230D634E"/>
    <w:rsid w:val="23A75A11"/>
    <w:rsid w:val="258E6E89"/>
    <w:rsid w:val="259D3570"/>
    <w:rsid w:val="259D531E"/>
    <w:rsid w:val="259F1096"/>
    <w:rsid w:val="261455E0"/>
    <w:rsid w:val="26C2328E"/>
    <w:rsid w:val="26E71FF8"/>
    <w:rsid w:val="2C300C99"/>
    <w:rsid w:val="2D5111DD"/>
    <w:rsid w:val="2F330613"/>
    <w:rsid w:val="2F48454C"/>
    <w:rsid w:val="303625F7"/>
    <w:rsid w:val="30BB1E44"/>
    <w:rsid w:val="30CE0A81"/>
    <w:rsid w:val="326A47D9"/>
    <w:rsid w:val="32931F82"/>
    <w:rsid w:val="33344B5B"/>
    <w:rsid w:val="334544DA"/>
    <w:rsid w:val="33B0446E"/>
    <w:rsid w:val="343155AF"/>
    <w:rsid w:val="35B26607"/>
    <w:rsid w:val="35D94150"/>
    <w:rsid w:val="36EF3746"/>
    <w:rsid w:val="388008B3"/>
    <w:rsid w:val="38CC1D4A"/>
    <w:rsid w:val="390F40F4"/>
    <w:rsid w:val="39783C80"/>
    <w:rsid w:val="397877DC"/>
    <w:rsid w:val="39C120F3"/>
    <w:rsid w:val="39CA7828"/>
    <w:rsid w:val="39FC21BB"/>
    <w:rsid w:val="3A361B71"/>
    <w:rsid w:val="3A700C53"/>
    <w:rsid w:val="3B5D137F"/>
    <w:rsid w:val="3B950B19"/>
    <w:rsid w:val="3BDF1D94"/>
    <w:rsid w:val="3C5C1637"/>
    <w:rsid w:val="3C6109FB"/>
    <w:rsid w:val="3C6A3D54"/>
    <w:rsid w:val="3EB24704"/>
    <w:rsid w:val="3FB83028"/>
    <w:rsid w:val="403C5A07"/>
    <w:rsid w:val="41F12821"/>
    <w:rsid w:val="42F61818"/>
    <w:rsid w:val="43437D8F"/>
    <w:rsid w:val="43F558C4"/>
    <w:rsid w:val="455C4456"/>
    <w:rsid w:val="45B264B8"/>
    <w:rsid w:val="46674FDF"/>
    <w:rsid w:val="46A24DFD"/>
    <w:rsid w:val="46F10BCE"/>
    <w:rsid w:val="474E6020"/>
    <w:rsid w:val="4A793372"/>
    <w:rsid w:val="4D07739D"/>
    <w:rsid w:val="4D43272D"/>
    <w:rsid w:val="50302767"/>
    <w:rsid w:val="50F419E6"/>
    <w:rsid w:val="515572A6"/>
    <w:rsid w:val="52A77371"/>
    <w:rsid w:val="5325057D"/>
    <w:rsid w:val="53BA3F2F"/>
    <w:rsid w:val="547D1CF3"/>
    <w:rsid w:val="54A51975"/>
    <w:rsid w:val="557A3F52"/>
    <w:rsid w:val="56B75990"/>
    <w:rsid w:val="56F00EA2"/>
    <w:rsid w:val="56FC7846"/>
    <w:rsid w:val="57BE4183"/>
    <w:rsid w:val="5A9304C2"/>
    <w:rsid w:val="5B0D2022"/>
    <w:rsid w:val="5C05719D"/>
    <w:rsid w:val="5CA63B2F"/>
    <w:rsid w:val="5E3C5349"/>
    <w:rsid w:val="5EE94B54"/>
    <w:rsid w:val="5FD2383A"/>
    <w:rsid w:val="619D39D4"/>
    <w:rsid w:val="61A82AA5"/>
    <w:rsid w:val="62E258C4"/>
    <w:rsid w:val="62F14310"/>
    <w:rsid w:val="64665769"/>
    <w:rsid w:val="66430FEE"/>
    <w:rsid w:val="66BB5028"/>
    <w:rsid w:val="66F10A4A"/>
    <w:rsid w:val="67492634"/>
    <w:rsid w:val="68B17BB0"/>
    <w:rsid w:val="698067CB"/>
    <w:rsid w:val="6A2F22D8"/>
    <w:rsid w:val="6B1B3633"/>
    <w:rsid w:val="6BD050D2"/>
    <w:rsid w:val="6C3A1310"/>
    <w:rsid w:val="6C68355C"/>
    <w:rsid w:val="6C9D33C3"/>
    <w:rsid w:val="6C9F2CF6"/>
    <w:rsid w:val="6E631E9D"/>
    <w:rsid w:val="6FB62831"/>
    <w:rsid w:val="70FD3D96"/>
    <w:rsid w:val="71542301"/>
    <w:rsid w:val="73243F55"/>
    <w:rsid w:val="747A1B80"/>
    <w:rsid w:val="757F1917"/>
    <w:rsid w:val="76E934EC"/>
    <w:rsid w:val="783C3AEF"/>
    <w:rsid w:val="78727511"/>
    <w:rsid w:val="79073EB3"/>
    <w:rsid w:val="7A8D5E8D"/>
    <w:rsid w:val="7AB67B89"/>
    <w:rsid w:val="7B9D1C40"/>
    <w:rsid w:val="7BEE3352"/>
    <w:rsid w:val="7C29782E"/>
    <w:rsid w:val="7C345209"/>
    <w:rsid w:val="7CFD384D"/>
    <w:rsid w:val="7E2D15A6"/>
    <w:rsid w:val="7E7C0CB0"/>
    <w:rsid w:val="7EDB5E10"/>
    <w:rsid w:val="7F480FCB"/>
    <w:rsid w:val="D75B80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DejaVu Sans" w:hAnsi="DejaVu Sans"/>
      <w:sz w:val="24"/>
    </w:rPr>
  </w:style>
  <w:style w:type="paragraph" w:styleId="3">
    <w:name w:val="Body Text 3"/>
    <w:basedOn w:val="1"/>
    <w:autoRedefine/>
    <w:qFormat/>
    <w:uiPriority w:val="0"/>
    <w:rPr>
      <w:rFonts w:ascii="宋体" w:hAnsi="Calibri"/>
      <w:sz w:val="24"/>
      <w:szCs w:val="20"/>
    </w:rPr>
  </w:style>
  <w:style w:type="paragraph" w:styleId="4">
    <w:name w:val="Body Text"/>
    <w:basedOn w:val="1"/>
    <w:autoRedefine/>
    <w:qFormat/>
    <w:uiPriority w:val="0"/>
    <w:pPr>
      <w:spacing w:after="120"/>
    </w:pPr>
  </w:style>
  <w:style w:type="paragraph" w:styleId="5">
    <w:name w:val="Body Text Indent"/>
    <w:basedOn w:val="1"/>
    <w:autoRedefine/>
    <w:qFormat/>
    <w:uiPriority w:val="0"/>
    <w:pPr>
      <w:spacing w:line="360" w:lineRule="auto"/>
      <w:ind w:firstLine="420"/>
    </w:pPr>
    <w:rPr>
      <w:szCs w:val="20"/>
    </w:rPr>
  </w:style>
  <w:style w:type="paragraph" w:styleId="6">
    <w:name w:val="Balloon Text"/>
    <w:basedOn w:val="1"/>
    <w:autoRedefine/>
    <w:semiHidden/>
    <w:unhideWhenUsed/>
    <w:qFormat/>
    <w:uiPriority w:val="99"/>
    <w:rPr>
      <w:sz w:val="18"/>
      <w:szCs w:val="18"/>
    </w:rPr>
  </w:style>
  <w:style w:type="paragraph" w:styleId="7">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autoRedefine/>
    <w:qFormat/>
    <w:uiPriority w:val="0"/>
    <w:pPr>
      <w:ind w:left="720"/>
    </w:pPr>
    <w:rPr>
      <w:szCs w:val="20"/>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autoRedefine/>
    <w:qFormat/>
    <w:uiPriority w:val="0"/>
    <w:rPr>
      <w:color w:val="0000FF"/>
      <w:u w:val="none"/>
    </w:rPr>
  </w:style>
  <w:style w:type="paragraph" w:customStyle="1" w:styleId="15">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6224</Words>
  <Characters>6658</Characters>
  <Lines>29</Lines>
  <Paragraphs>8</Paragraphs>
  <TotalTime>5</TotalTime>
  <ScaleCrop>false</ScaleCrop>
  <LinksUpToDate>false</LinksUpToDate>
  <CharactersWithSpaces>6945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張張</cp:lastModifiedBy>
  <dcterms:modified xsi:type="dcterms:W3CDTF">2024-06-11T01:25:43Z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5EE1C612B7D04FB28CD2472C93A4A7DD</vt:lpwstr>
  </property>
</Properties>
</file>