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仿宋" w:hAnsi="仿宋" w:eastAsia="仿宋" w:cs="仿宋"/>
          <w:b/>
          <w:bCs/>
          <w:sz w:val="28"/>
          <w:szCs w:val="28"/>
        </w:rPr>
        <w:t>蒙牛乳业低温通辽工厂叉车采购项目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询比价信息公告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内蒙古蒙牛乳业（集团）股份有限公司就蒙牛乳业低温通辽工厂叉车采购项目进行询比价, 欢迎符合资格条件的供应商参加。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：MNCGJH-20240606-0009</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蒙牛乳业低温通辽工厂叉车采购项目</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sz w:val="21"/>
          <w:szCs w:val="21"/>
        </w:rPr>
      </w:pPr>
      <w:r>
        <w:rPr>
          <w:rFonts w:hint="eastAsia" w:ascii="仿宋" w:hAnsi="仿宋" w:eastAsia="仿宋" w:cs="仿宋"/>
          <w:b/>
          <w:bCs/>
          <w:kern w:val="2"/>
          <w:sz w:val="24"/>
          <w:szCs w:val="24"/>
          <w:lang w:val="en-US" w:eastAsia="zh-CN" w:bidi="ar-SA"/>
        </w:rPr>
        <w:t>三、项目概况：</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1、概况：</w:t>
      </w:r>
      <w:r>
        <w:rPr>
          <w:rFonts w:hint="eastAsia" w:ascii="仿宋" w:hAnsi="仿宋" w:eastAsia="仿宋" w:cs="仿宋"/>
          <w:color w:val="000000"/>
          <w:sz w:val="24"/>
          <w:lang w:val="en-US" w:eastAsia="zh-CN"/>
        </w:rPr>
        <w:t>低温通辽工厂原全电动站驾式堆高车已到报废年限，出现故障频次高，使用过程无法刹车有安全隐患，需新增采购一台全电动站驾式堆高车；为了减轻员工劳动轻度，提升工作效率，满足低温通辽工厂生产使用需要，需新增采购一台电动高升程搬运车及电动液压称重搬运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范围：</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全电动站驾式堆高车、电动高升程搬运车、电动液压称重搬运车</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四、资格要求：</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竞价人</w:t>
      </w:r>
      <w:r>
        <w:rPr>
          <w:rFonts w:hint="eastAsia" w:ascii="仿宋" w:hAnsi="仿宋" w:eastAsia="仿宋" w:cs="仿宋"/>
          <w:sz w:val="24"/>
          <w:szCs w:val="24"/>
          <w:lang w:val="en-US" w:eastAsia="zh-CN"/>
        </w:rPr>
        <w:t>必须是在中华人民共和国境内注册的具有独立法人资格的企事业单位，经营范围必须具有机械设备、叉车安装、维修、销售等相关资质，</w:t>
      </w:r>
      <w:r>
        <w:rPr>
          <w:rFonts w:hint="eastAsia" w:ascii="仿宋" w:hAnsi="仿宋" w:eastAsia="仿宋" w:cs="仿宋"/>
          <w:sz w:val="24"/>
          <w:szCs w:val="24"/>
          <w:highlight w:val="none"/>
          <w:lang w:val="en-US" w:eastAsia="zh-CN"/>
        </w:rPr>
        <w:t>以企业营业执照为准；</w:t>
      </w:r>
      <w:r>
        <w:rPr>
          <w:rFonts w:hint="eastAsia" w:ascii="仿宋" w:hAnsi="仿宋" w:eastAsia="仿宋" w:cs="仿宋"/>
          <w:color w:val="000000"/>
          <w:sz w:val="24"/>
          <w:lang w:val="en-US" w:eastAsia="zh-CN"/>
        </w:rPr>
        <w:t>且具有有效的</w:t>
      </w:r>
      <w:r>
        <w:rPr>
          <w:rFonts w:hint="eastAsia" w:ascii="仿宋" w:hAnsi="仿宋" w:eastAsia="仿宋" w:cs="仿宋"/>
          <w:sz w:val="24"/>
          <w:szCs w:val="24"/>
          <w:lang w:val="en-US" w:eastAsia="zh-CN"/>
        </w:rPr>
        <w:t>开户行许可证</w:t>
      </w:r>
      <w:r>
        <w:rPr>
          <w:rFonts w:hint="eastAsia" w:ascii="仿宋" w:hAnsi="仿宋" w:eastAsia="仿宋" w:cs="仿宋"/>
          <w:color w:val="000000"/>
          <w:sz w:val="24"/>
          <w:lang w:val="en-US" w:eastAsia="zh-CN"/>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须具有一般纳税人认定资格。</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授权委托人须为本企业在职人员；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en-US" w:eastAsia="zh-CN"/>
        </w:rPr>
        <w:t>竞价人必须为具有销售和维修（以上两项需同时具备）能力的设备厂商或授权代理商，若是授权代理商，必须取得所投货物生产制造商出具的书面授权书；</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须具有2020至2022年或2021至2023年</w:t>
      </w:r>
      <w:r>
        <w:rPr>
          <w:rFonts w:hint="eastAsia" w:ascii="仿宋" w:hAnsi="仿宋" w:eastAsia="仿宋" w:cs="仿宋"/>
          <w:color w:val="000000"/>
          <w:sz w:val="24"/>
          <w:lang w:val="en-US" w:eastAsia="zh-CN"/>
        </w:rPr>
        <w:t>财务报表或</w:t>
      </w:r>
      <w:r>
        <w:rPr>
          <w:rFonts w:hint="eastAsia" w:ascii="仿宋" w:hAnsi="仿宋" w:eastAsia="仿宋" w:cs="仿宋"/>
          <w:color w:val="000000"/>
          <w:sz w:val="24"/>
        </w:rPr>
        <w:t>第三方财务审计报告；</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202</w:t>
      </w:r>
      <w:r>
        <w:rPr>
          <w:rFonts w:hint="eastAsia" w:ascii="仿宋" w:hAnsi="仿宋" w:eastAsia="仿宋" w:cs="仿宋"/>
          <w:color w:val="000000"/>
          <w:sz w:val="24"/>
          <w:lang w:val="en-US" w:eastAsia="zh-CN"/>
        </w:rPr>
        <w:t>2</w:t>
      </w:r>
      <w:r>
        <w:rPr>
          <w:rFonts w:hint="eastAsia" w:ascii="仿宋" w:hAnsi="仿宋" w:eastAsia="仿宋" w:cs="仿宋"/>
          <w:color w:val="000000"/>
          <w:sz w:val="24"/>
        </w:rPr>
        <w:t>年1月1日至今须具有两个及以上类似项目业绩（以合同为准）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rPr>
        <w:t>）</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未被列入国家企业信用信息公示系统（http://www.gsxt.gov.cn/index.html）严重违法失信企业名单。</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rPr>
        <w:t>）与采购人存在利害关系可能影响采购公正性的法人、其他组织或者个人，不得参加</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；单位负责人为同一人或者存在控股、管理关系的不同单位，不得参加同一标段</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或者未划分标段的同一采购项目</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；存在以上情况的，在通过资格预审的情况下，允许最先报名的潜在竞谈人参与</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）本次项目不接受联合体竞</w:t>
      </w:r>
      <w:r>
        <w:rPr>
          <w:rFonts w:hint="eastAsia" w:ascii="仿宋" w:hAnsi="仿宋" w:eastAsia="仿宋" w:cs="仿宋"/>
          <w:color w:val="000000"/>
          <w:sz w:val="24"/>
          <w:lang w:val="en-US" w:eastAsia="zh-CN"/>
        </w:rPr>
        <w:t>价</w:t>
      </w:r>
      <w:r>
        <w:rPr>
          <w:rFonts w:hint="eastAsia" w:ascii="仿宋" w:hAnsi="仿宋" w:eastAsia="仿宋" w:cs="仿宋"/>
          <w:color w:val="000000"/>
          <w:sz w:val="24"/>
        </w:rPr>
        <w:t>，不允许分包或转包。</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10</w:t>
      </w:r>
      <w:r>
        <w:rPr>
          <w:rFonts w:hint="eastAsia" w:ascii="仿宋" w:hAnsi="仿宋" w:eastAsia="仿宋" w:cs="仿宋"/>
          <w:color w:val="000000"/>
          <w:sz w:val="24"/>
        </w:rPr>
        <w:t xml:space="preserve">）不接受中粮及蒙牛供应商黑名单（以蒙牛集团招投标管理部下发的黑名单为准）的企业参与竞争。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五、报名须知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1、报名资格文件的组成及顺序按照如下要求提供：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（1）提供有效的营业执照（副本）、有效的开户行许可证；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（2）提供一般纳税人资格证明材料、并提供企业最近1年任意3个月的依法纳税证明材料和社保缴纳证明材料；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（4）提供</w:t>
      </w:r>
      <w:r>
        <w:rPr>
          <w:rFonts w:hint="eastAsia" w:ascii="仿宋" w:hAnsi="仿宋" w:eastAsia="仿宋" w:cs="仿宋"/>
          <w:color w:val="000000"/>
          <w:sz w:val="24"/>
          <w:lang w:val="en-US" w:eastAsia="zh-CN"/>
        </w:rPr>
        <w:t>具有销售和维修（以上两项需同时具备）能力的设备厂商或授权代理商的证明材料，若是授权代理商，须提供取得所投货物生产制造商出具的书面授权书的证明材料</w:t>
      </w:r>
      <w:r>
        <w:rPr>
          <w:rFonts w:hint="eastAsia" w:ascii="仿宋" w:hAnsi="仿宋" w:eastAsia="仿宋" w:cs="仿宋"/>
          <w:color w:val="0000FF"/>
          <w:sz w:val="24"/>
          <w:szCs w:val="24"/>
          <w:lang w:val="en-US" w:eastAsia="zh-CN"/>
        </w:rPr>
        <w:t>。</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（5）提供近三年（2020至2022年或2021至2023年）的财务报表或经过第三方专业审计机构出具的财务审计报告；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highlight w:val="none"/>
          <w:lang w:val="en-US" w:eastAsia="zh-CN"/>
        </w:rPr>
        <w:t>）提供2022年1月1日至今至少两个类似项目业绩（以合同为准）</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（7）提供竞价人未被列入国家企业信用信息公示系统（</w:t>
      </w:r>
      <w:r>
        <w:rPr>
          <w:rFonts w:hint="eastAsia" w:ascii="仿宋" w:hAnsi="仿宋" w:eastAsia="仿宋" w:cs="仿宋"/>
          <w:color w:val="auto"/>
          <w:sz w:val="24"/>
          <w:szCs w:val="24"/>
          <w:u w:val="none"/>
          <w:lang w:val="en-US" w:eastAsia="zh-CN"/>
        </w:rPr>
        <w:t>http://www.gsxt.gov.cn/index.html）严重违法失信企业名单</w:t>
      </w:r>
      <w:r>
        <w:rPr>
          <w:rFonts w:hint="eastAsia" w:ascii="仿宋" w:hAnsi="仿宋" w:eastAsia="仿宋" w:cs="仿宋"/>
          <w:sz w:val="24"/>
          <w:szCs w:val="24"/>
          <w:lang w:val="en-US" w:eastAsia="zh-CN"/>
        </w:rPr>
        <w:t>证明。</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（8）提供潜在竞价单位报名提供信息表（附件1）</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（9）提供保密承诺书（附件2）</w:t>
      </w:r>
    </w:p>
    <w:p>
      <w:pPr>
        <w:pStyle w:val="18"/>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color w:val="auto"/>
          <w:sz w:val="24"/>
          <w:szCs w:val="24"/>
          <w:u w:val="none"/>
          <w:lang w:val="en-US" w:eastAsia="zh-CN"/>
        </w:rPr>
        <w:t>https://zbcg.mengniu.cn/#/home</w:t>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进行线上提交，进行资格审查（过期提交不予受理），审查合格后方可领取询报价单（仅作为发放询报价单的依据）。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竞价人自领取询报价单之日起，应确保其向采购人或招标代理机构提供的通讯手段（电话、邮箱）一直有效，以保证往来函件能及时传达并及时反馈信息，否则由此引起的一切后果由竞价人承担。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价人依据资格要求自主评估，符合条件的登录“蒙牛集团电子采购招标平台”进行网上报名、资格验证、下载询报价单、澄清答疑和参与竞价会等，过程中如有疑问可咨询平台服务支持或咨询采购方业务咨询联系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sz w:val="24"/>
          <w:szCs w:val="24"/>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竞价人自收到询报价单之日起，应确保其向采购人提供的通讯手段（电话、邮箱）一直有效，以保证往来函件能及时传达并及时反馈信息，否则由此引起的一切后果由人竞价人承担。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六、项目时间安排及要求：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1、报名时间：</w:t>
      </w:r>
      <w:r>
        <w:rPr>
          <w:rFonts w:hint="eastAsia" w:ascii="仿宋" w:hAnsi="仿宋" w:eastAsia="仿宋" w:cs="仿宋"/>
          <w:sz w:val="24"/>
          <w:szCs w:val="24"/>
          <w:lang w:val="en-US" w:eastAsia="zh-CN"/>
        </w:rPr>
        <w:t>2024年6月11日12时0分0秒至2024年6月14日12时00分00秒；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2、资格预审时间：</w:t>
      </w:r>
      <w:r>
        <w:rPr>
          <w:rFonts w:hint="eastAsia" w:ascii="仿宋" w:hAnsi="仿宋" w:eastAsia="仿宋" w:cs="仿宋"/>
          <w:sz w:val="24"/>
          <w:szCs w:val="24"/>
          <w:lang w:val="en-US" w:eastAsia="zh-CN"/>
        </w:rPr>
        <w:t>2024年6月14日12时0分0秒至2024年6月15日12时0分0秒；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3、询价单发放时间：</w:t>
      </w:r>
      <w:r>
        <w:rPr>
          <w:rFonts w:hint="eastAsia" w:ascii="仿宋" w:hAnsi="仿宋" w:eastAsia="仿宋" w:cs="仿宋"/>
          <w:sz w:val="24"/>
          <w:szCs w:val="24"/>
          <w:lang w:val="en-US" w:eastAsia="zh-CN"/>
        </w:rPr>
        <w:t>2024年6月17日0时0分0秒至2024年6月18日23时59分59秒；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4、比价时间</w:t>
      </w:r>
      <w:r>
        <w:rPr>
          <w:rFonts w:hint="eastAsia" w:ascii="仿宋" w:hAnsi="仿宋" w:eastAsia="仿宋" w:cs="仿宋"/>
          <w:sz w:val="24"/>
          <w:szCs w:val="24"/>
          <w:lang w:val="en-US" w:eastAsia="zh-CN"/>
        </w:rPr>
        <w:t>：2024年6月20日14:30时；</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b/>
          <w:bCs/>
          <w:kern w:val="2"/>
          <w:sz w:val="24"/>
          <w:szCs w:val="24"/>
          <w:lang w:val="en-US" w:eastAsia="zh-CN" w:bidi="ar-SA"/>
        </w:rPr>
        <w:t>七、询比价地点：</w:t>
      </w:r>
      <w:r>
        <w:rPr>
          <w:rFonts w:hint="eastAsia" w:ascii="仿宋" w:hAnsi="仿宋" w:eastAsia="仿宋" w:cs="仿宋"/>
          <w:kern w:val="2"/>
          <w:sz w:val="24"/>
          <w:szCs w:val="24"/>
          <w:lang w:val="en-US" w:eastAsia="zh-CN" w:bidi="ar-SA"/>
        </w:rPr>
        <w:t>蒙牛集团电子采购招标平台（https://zbcg.mengniu.cn/）</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八、发布媒体：</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中国招标投标公共服务平台（http://www.cebpubservice.com/）</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蒙牛集团电子招标采购交易平台（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蒙牛官网（http://www.mengniu.com.cn）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蒙牛内部OA平台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只在以上平台发布，其他任何媒体转载无效。</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九、采购招标实施方及联系方式：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采购方：</w:t>
      </w:r>
      <w:r>
        <w:rPr>
          <w:rFonts w:hint="eastAsia" w:ascii="仿宋" w:hAnsi="仿宋" w:eastAsia="仿宋" w:cs="仿宋"/>
          <w:sz w:val="24"/>
          <w:szCs w:val="24"/>
          <w:lang w:val="en-US" w:eastAsia="zh-CN"/>
        </w:rPr>
        <w:t>内蒙古蒙牛乳业（集团）股份有限公司</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业务咨询联系人：</w:t>
      </w:r>
      <w:r>
        <w:rPr>
          <w:rFonts w:hint="eastAsia" w:ascii="仿宋" w:hAnsi="仿宋" w:eastAsia="仿宋" w:cs="仿宋"/>
          <w:sz w:val="24"/>
          <w:szCs w:val="24"/>
          <w:lang w:val="en-US" w:eastAsia="zh-CN"/>
        </w:rPr>
        <w:t xml:space="preserve">张嘉馨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15148996062</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十、监督单位及联系方式：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监督单位：</w:t>
      </w:r>
      <w:r>
        <w:rPr>
          <w:rFonts w:hint="eastAsia" w:ascii="仿宋" w:hAnsi="仿宋" w:eastAsia="仿宋" w:cs="仿宋"/>
          <w:sz w:val="24"/>
          <w:szCs w:val="24"/>
          <w:lang w:val="en-US" w:eastAsia="zh-CN"/>
        </w:rPr>
        <w:t>内蒙古蒙牛乳业（集团）股份有限公司采购招标管理部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异议/投诉服务网址：</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 督 人:</w:t>
      </w:r>
      <w:r>
        <w:rPr>
          <w:rFonts w:hint="eastAsia" w:ascii="仿宋" w:hAnsi="仿宋" w:eastAsia="仿宋" w:cs="仿宋"/>
          <w:sz w:val="24"/>
          <w:szCs w:val="24"/>
          <w:lang w:val="en-US" w:eastAsia="zh-CN"/>
        </w:rPr>
        <w:t xml:space="preserve">郑建东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0471-7393642/15034927966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电子邮件：</w:t>
      </w:r>
      <w:r>
        <w:rPr>
          <w:rFonts w:hint="eastAsia" w:ascii="仿宋" w:hAnsi="仿宋" w:eastAsia="仿宋" w:cs="仿宋"/>
          <w:sz w:val="24"/>
          <w:szCs w:val="24"/>
          <w:lang w:val="en-US" w:eastAsia="zh-CN"/>
        </w:rPr>
        <w:t>zhengjiandong@mengniu.cn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kinsoku/>
        <w:overflowPunct/>
        <w:bidi w:val="0"/>
        <w:spacing w:line="460" w:lineRule="exact"/>
        <w:ind w:left="0" w:leftChars="0" w:right="0" w:rightChars="0" w:firstLine="422" w:firstLineChars="200"/>
        <w:jc w:val="left"/>
        <w:textAlignment w:val="auto"/>
        <w:rPr>
          <w:rFonts w:hint="eastAsia" w:ascii="仿宋" w:hAnsi="仿宋" w:eastAsia="仿宋" w:cs="仿宋"/>
          <w:b/>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附件：</w:t>
      </w:r>
      <w:r>
        <w:rPr>
          <w:rFonts w:hint="eastAsia" w:ascii="仿宋" w:hAnsi="仿宋" w:eastAsia="仿宋" w:cs="仿宋"/>
          <w:sz w:val="24"/>
          <w:szCs w:val="24"/>
          <w:lang w:val="en-US" w:eastAsia="zh-CN"/>
        </w:rPr>
        <w:t>1.潜在竞价单位报名提供信息表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200" w:firstLineChars="5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2.保密承诺书</w:t>
      </w: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集团</w:t>
      </w:r>
      <w:r>
        <w:rPr>
          <w:rFonts w:hint="eastAsia" w:ascii="仿宋" w:hAnsi="仿宋" w:eastAsia="仿宋" w:cs="仿宋"/>
          <w:sz w:val="24"/>
          <w:szCs w:val="24"/>
          <w:lang w:eastAsia="zh-CN"/>
        </w:rPr>
        <w:t>）</w:t>
      </w:r>
      <w:r>
        <w:rPr>
          <w:rFonts w:hint="eastAsia" w:ascii="仿宋" w:hAnsi="仿宋" w:eastAsia="仿宋" w:cs="仿宋"/>
          <w:sz w:val="24"/>
          <w:szCs w:val="24"/>
        </w:rPr>
        <w:t>股份有限公司</w:t>
      </w:r>
    </w:p>
    <w:p>
      <w:pPr>
        <w:keepNext w:val="0"/>
        <w:keepLines w:val="0"/>
        <w:pageBreakBefore w:val="0"/>
        <w:kinsoku/>
        <w:wordWrap w:val="0"/>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bookmarkStart w:id="1" w:name="_GoBack"/>
      <w:bookmarkEnd w:id="1"/>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附件1：</w:t>
      </w:r>
    </w:p>
    <w:p>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r>
        <w:rPr>
          <w:rFonts w:hint="eastAsia" w:ascii="仿宋" w:hAnsi="仿宋" w:eastAsia="仿宋" w:cs="仿宋"/>
          <w:sz w:val="21"/>
          <w:szCs w:val="21"/>
        </w:rPr>
        <w:t>附件2：</w:t>
      </w:r>
    </w:p>
    <w:p>
      <w:pPr>
        <w:keepNext w:val="0"/>
        <w:keepLines w:val="0"/>
        <w:pageBreakBefore w:val="0"/>
        <w:widowControl/>
        <w:kinsoku/>
        <w:overflowPunct/>
        <w:bidi w:val="0"/>
        <w:adjustRightInd w:val="0"/>
        <w:snapToGrid w:val="0"/>
        <w:spacing w:line="46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保密承诺书</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甲方：</w:t>
      </w:r>
      <w:r>
        <w:rPr>
          <w:rFonts w:hint="eastAsia" w:ascii="仿宋" w:hAnsi="仿宋" w:eastAsia="仿宋" w:cs="仿宋"/>
          <w:color w:val="000000"/>
          <w:kern w:val="0"/>
          <w:sz w:val="21"/>
          <w:szCs w:val="21"/>
          <w:highlight w:val="none"/>
        </w:rPr>
        <w:t xml:space="preserve">内蒙古蒙牛乳业(集团)股份有限公司 </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甲乙双方就</w:t>
      </w:r>
      <w:r>
        <w:rPr>
          <w:rFonts w:hint="eastAsia" w:ascii="仿宋" w:hAnsi="仿宋" w:eastAsia="仿宋" w:cs="仿宋"/>
          <w:color w:val="000000"/>
          <w:kern w:val="0"/>
          <w:sz w:val="21"/>
          <w:szCs w:val="21"/>
          <w:lang w:val="en-US" w:eastAsia="zh-CN"/>
        </w:rPr>
        <w:t>蒙牛乳业低温通辽工厂叉车采购项目</w:t>
      </w:r>
      <w:r>
        <w:rPr>
          <w:rFonts w:hint="eastAsia" w:ascii="仿宋" w:hAnsi="仿宋" w:eastAsia="仿宋" w:cs="仿宋"/>
          <w:color w:val="000000"/>
          <w:kern w:val="0"/>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一、定义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（一）由乙方以书面文件证明：该等信息已于披露之前已由乙方所持有；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（二）已公开发表或非因乙方作为或不作为的原因，已向公众披露；</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（三）已由甲方书面同意乙方公开；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（四）由乙方在未使用该等机密信息的情形下独立开发；</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（五）乙方从第三方处合法、正当地取得，且该第三方对该等机密信息不承担保密义务。</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二、保密</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三、公开</w:t>
      </w:r>
    </w:p>
    <w:p>
      <w:pPr>
        <w:pStyle w:val="10"/>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1"/>
          <w:szCs w:val="21"/>
        </w:rPr>
        <w:t xml:space="preserve">                                                                                                                                                               </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四、强制性披露</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五、返还资料</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在承诺书目的终止、撤消、完成、被拒绝或以其他方式解除后，根据甲方的书面要求，乙方应在项目谈判协商终止后的</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六、非授权许可</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七、义务限定</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本承诺书不得被视作或解释为甲方有义务向乙方提供任何信息、与乙方进行商业交易或签订任何最终协议，除非甲方决定向乙方提供信息或与其签订与交易有关的最终协议。</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八、信息准确性</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九、期限</w:t>
      </w:r>
    </w:p>
    <w:p>
      <w:pPr>
        <w:pStyle w:val="6"/>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本承诺书中乙方之保密义务应自乙方收到机密信息之日起</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年内持续有效，且不因承诺书目的之达成而终止。</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十、补充条款</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（一）合规条款</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2、履约行为合规承诺：乙方承诺具有履行本承诺书约定的能力，且履行行为符合现行法律法规等规范性文件的要求。</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4、合规检查：乙方应积极配合甲方的合规检查，理解并接受甲方对乙方的合规管理要求，同意配合合规检查，并不得隐瞒任何可能对甲方利益造成影响的信息。</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5、劳动用工:</w:t>
      </w:r>
      <w:r>
        <w:rPr>
          <w:rFonts w:hint="eastAsia" w:ascii="仿宋" w:hAnsi="仿宋" w:eastAsia="仿宋" w:cs="仿宋"/>
          <w:sz w:val="21"/>
          <w:szCs w:val="21"/>
        </w:rPr>
        <w:t xml:space="preserve"> </w:t>
      </w:r>
      <w:r>
        <w:rPr>
          <w:rFonts w:hint="eastAsia" w:ascii="仿宋" w:hAnsi="仿宋" w:eastAsia="仿宋" w:cs="仿宋"/>
          <w:color w:val="000000"/>
          <w:sz w:val="21"/>
          <w:szCs w:val="21"/>
        </w:rPr>
        <w:t>乙方承诺不雇佣、使用童工，保障其员工的劳动合法权益，不纵容、支持、实施歧视、威胁员工的行为或发布相关言论。</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7、严格约束乙方员工及其代理人：乙方承诺严格遵守合规承诺条款，若乙方员工及乙方的代理人或代理机构违反相关承诺即视为乙方违反。</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10、责任承担：如果乙方违反前述合规承诺条款，甲方有权要求乙方承担因此而给甲方造成的全部损失。</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12、适用原则：本承诺书中合规条款对乙方的要求与承诺书中其他条款不一致的，以对乙方要求更高的条款为准。</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（二）环境保护</w:t>
      </w:r>
    </w:p>
    <w:p>
      <w:pPr>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sz w:val="21"/>
          <w:szCs w:val="21"/>
        </w:rPr>
      </w:pPr>
      <w:r>
        <w:rPr>
          <w:rFonts w:hint="eastAsia" w:ascii="仿宋" w:hAnsi="仿宋" w:eastAsia="仿宋" w:cs="仿宋"/>
          <w:b/>
          <w:sz w:val="21"/>
          <w:szCs w:val="21"/>
        </w:rPr>
        <w:t>（三）附件法律效力条款</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sz w:val="21"/>
          <w:szCs w:val="21"/>
        </w:rPr>
        <w:t>本着接受法律上之约束的意向，双方特此同意本承诺书全部附录、附件等均为本承诺书不可分割的部分，共同构成双方就达成的全部承诺书，与本承诺书具有同等法律效力。</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十一、适用法律</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一</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种方式解决：</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（一）向呼和浩特仲裁委员会申请仲裁。因仲裁产生的包括但不限于仲裁费、律师费、调查费、差旅费等，由乙方承担。</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（二）向甲方所在地有管辖权的人民法院提起诉讼。因诉讼产生的包括但不限于诉讼费、律师费、调查费、差旅费等，由乙方承担。</w:t>
      </w:r>
    </w:p>
    <w:p>
      <w:pPr>
        <w:pStyle w:val="5"/>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十二、违约责任及救济</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overflowPunct/>
        <w:bidi w:val="0"/>
        <w:spacing w:line="460" w:lineRule="exact"/>
        <w:ind w:left="0" w:leftChars="0" w:firstLine="422" w:firstLineChars="200"/>
        <w:rPr>
          <w:rFonts w:hint="eastAsia" w:ascii="仿宋" w:hAnsi="仿宋" w:eastAsia="仿宋" w:cs="仿宋"/>
          <w:color w:val="000000"/>
          <w:kern w:val="0"/>
          <w:sz w:val="21"/>
          <w:szCs w:val="21"/>
        </w:rPr>
      </w:pPr>
      <w:r>
        <w:rPr>
          <w:rFonts w:hint="eastAsia" w:ascii="仿宋" w:hAnsi="仿宋" w:eastAsia="仿宋" w:cs="仿宋"/>
          <w:b/>
          <w:color w:val="000000"/>
          <w:kern w:val="0"/>
          <w:sz w:val="21"/>
          <w:szCs w:val="21"/>
        </w:rPr>
        <w:t>如果</w:t>
      </w:r>
      <w:r>
        <w:rPr>
          <w:rFonts w:hint="eastAsia" w:ascii="仿宋" w:hAnsi="仿宋" w:eastAsia="仿宋" w:cs="仿宋"/>
          <w:b/>
          <w:bCs/>
          <w:color w:val="000000"/>
          <w:kern w:val="0"/>
          <w:sz w:val="21"/>
          <w:szCs w:val="21"/>
        </w:rPr>
        <w:t>乙方</w:t>
      </w:r>
      <w:r>
        <w:rPr>
          <w:rFonts w:hint="eastAsia" w:ascii="仿宋" w:hAnsi="仿宋" w:eastAsia="仿宋" w:cs="仿宋"/>
          <w:b/>
          <w:color w:val="000000"/>
          <w:kern w:val="0"/>
          <w:sz w:val="21"/>
          <w:szCs w:val="21"/>
        </w:rPr>
        <w:t>违反本承诺书的任何规定情形,则甲方有权将乙方拉入蒙牛供应商黑名单，乙方应积极配合甲方在10个工作日内收回已经泄露的信息。</w:t>
      </w:r>
    </w:p>
    <w:p>
      <w:pPr>
        <w:pStyle w:val="5"/>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十三、生效及份数</w:t>
      </w:r>
    </w:p>
    <w:p>
      <w:pPr>
        <w:pStyle w:val="5"/>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本承诺书经乙方签字盖章之日起生效。</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bCs/>
          <w:sz w:val="21"/>
          <w:szCs w:val="21"/>
        </w:rPr>
      </w:pP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（以下无正文）</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 xml:space="preserve">                            </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代表人：</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sz w:val="21"/>
          <w:szCs w:val="21"/>
        </w:rPr>
      </w:pPr>
      <w:r>
        <w:rPr>
          <w:rFonts w:hint="eastAsia" w:ascii="仿宋" w:hAnsi="仿宋" w:eastAsia="仿宋" w:cs="仿宋"/>
          <w:color w:val="000000"/>
          <w:kern w:val="0"/>
          <w:sz w:val="21"/>
          <w:szCs w:val="21"/>
        </w:rPr>
        <w:t>日期：</w:t>
      </w:r>
    </w:p>
    <w:p>
      <w:pPr>
        <w:keepNext w:val="0"/>
        <w:keepLines w:val="0"/>
        <w:pageBreakBefore w:val="0"/>
        <w:kinsoku/>
        <w:overflowPunct/>
        <w:bidi w:val="0"/>
        <w:spacing w:line="460" w:lineRule="exact"/>
        <w:ind w:left="0" w:leftChars="0" w:firstLine="420" w:firstLineChars="200"/>
        <w:rPr>
          <w:rFonts w:hint="eastAsia" w:ascii="楷体_GB2312" w:hAnsi="宋体" w:eastAsia="楷体_GB2312"/>
          <w:sz w:val="21"/>
          <w:szCs w:val="21"/>
        </w:rPr>
      </w:pPr>
    </w:p>
    <w:p>
      <w:pPr>
        <w:pStyle w:val="4"/>
        <w:keepNext w:val="0"/>
        <w:keepLines w:val="0"/>
        <w:pageBreakBefore w:val="0"/>
        <w:kinsoku/>
        <w:overflowPunct/>
        <w:topLinePunct/>
        <w:bidi w:val="0"/>
        <w:adjustRightInd w:val="0"/>
        <w:snapToGrid w:val="0"/>
        <w:spacing w:line="460" w:lineRule="exact"/>
        <w:ind w:left="0" w:leftChars="0" w:right="0" w:rightChars="0" w:firstLine="420" w:firstLineChars="200"/>
        <w:textAlignment w:val="auto"/>
        <w:rPr>
          <w:rFonts w:hint="eastAsia" w:ascii="仿宋" w:hAnsi="仿宋" w:eastAsia="仿宋" w:cs="仿宋"/>
          <w:sz w:val="21"/>
          <w:szCs w:val="21"/>
        </w:rPr>
      </w:pPr>
      <w:r>
        <w:rPr>
          <w:rFonts w:hint="eastAsia" w:ascii="楷体_GB2312" w:hAnsi="仿宋" w:eastAsia="楷体_GB2312"/>
          <w:sz w:val="21"/>
          <w:szCs w:val="21"/>
        </w:rPr>
        <w:t>　　　　　　　　　　　　　</w:t>
      </w:r>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8487B"/>
    <w:rsid w:val="003B6EF3"/>
    <w:rsid w:val="003F4823"/>
    <w:rsid w:val="0041481A"/>
    <w:rsid w:val="00443121"/>
    <w:rsid w:val="004522A4"/>
    <w:rsid w:val="004631BA"/>
    <w:rsid w:val="00467241"/>
    <w:rsid w:val="00472CCC"/>
    <w:rsid w:val="004C38AE"/>
    <w:rsid w:val="00570DEA"/>
    <w:rsid w:val="005831E4"/>
    <w:rsid w:val="005D6697"/>
    <w:rsid w:val="00657C10"/>
    <w:rsid w:val="00666EE6"/>
    <w:rsid w:val="00667FF2"/>
    <w:rsid w:val="00671957"/>
    <w:rsid w:val="006945F3"/>
    <w:rsid w:val="006B6C3A"/>
    <w:rsid w:val="006C345F"/>
    <w:rsid w:val="00727111"/>
    <w:rsid w:val="007A53D7"/>
    <w:rsid w:val="007B6B47"/>
    <w:rsid w:val="008107ED"/>
    <w:rsid w:val="0082709A"/>
    <w:rsid w:val="008951B8"/>
    <w:rsid w:val="008A71C1"/>
    <w:rsid w:val="00912D0A"/>
    <w:rsid w:val="00964DED"/>
    <w:rsid w:val="00975D66"/>
    <w:rsid w:val="0098500F"/>
    <w:rsid w:val="009A53E0"/>
    <w:rsid w:val="009C0E42"/>
    <w:rsid w:val="009E0A16"/>
    <w:rsid w:val="00AB418C"/>
    <w:rsid w:val="00AB7B2B"/>
    <w:rsid w:val="00AC49D0"/>
    <w:rsid w:val="00AD0824"/>
    <w:rsid w:val="00AD565F"/>
    <w:rsid w:val="00AF61E6"/>
    <w:rsid w:val="00B3033E"/>
    <w:rsid w:val="00B54CF7"/>
    <w:rsid w:val="00BB598C"/>
    <w:rsid w:val="00C23AF0"/>
    <w:rsid w:val="00C42B89"/>
    <w:rsid w:val="00C60722"/>
    <w:rsid w:val="00C7129A"/>
    <w:rsid w:val="00DC0575"/>
    <w:rsid w:val="00E03B81"/>
    <w:rsid w:val="00E13822"/>
    <w:rsid w:val="00EA1469"/>
    <w:rsid w:val="00EA389B"/>
    <w:rsid w:val="00ED6E48"/>
    <w:rsid w:val="00EF0456"/>
    <w:rsid w:val="00F1123A"/>
    <w:rsid w:val="00FD24A5"/>
    <w:rsid w:val="018954EA"/>
    <w:rsid w:val="01B166F6"/>
    <w:rsid w:val="031C69F7"/>
    <w:rsid w:val="03F4702C"/>
    <w:rsid w:val="0415162B"/>
    <w:rsid w:val="047540F8"/>
    <w:rsid w:val="05D15782"/>
    <w:rsid w:val="077566D6"/>
    <w:rsid w:val="09293C1C"/>
    <w:rsid w:val="0A6767AA"/>
    <w:rsid w:val="0B6D4268"/>
    <w:rsid w:val="0C965492"/>
    <w:rsid w:val="0D360258"/>
    <w:rsid w:val="0D3957E6"/>
    <w:rsid w:val="0EC817E1"/>
    <w:rsid w:val="0F384BB8"/>
    <w:rsid w:val="0F576528"/>
    <w:rsid w:val="0F625791"/>
    <w:rsid w:val="10537E12"/>
    <w:rsid w:val="10563548"/>
    <w:rsid w:val="11D0732A"/>
    <w:rsid w:val="11FB6447"/>
    <w:rsid w:val="12A04F4F"/>
    <w:rsid w:val="13734411"/>
    <w:rsid w:val="13AC7923"/>
    <w:rsid w:val="142918A0"/>
    <w:rsid w:val="14642650"/>
    <w:rsid w:val="14FE7D0A"/>
    <w:rsid w:val="155E4C4D"/>
    <w:rsid w:val="17D47448"/>
    <w:rsid w:val="181B3609"/>
    <w:rsid w:val="18AB63FB"/>
    <w:rsid w:val="1C0A3439"/>
    <w:rsid w:val="1C4E1880"/>
    <w:rsid w:val="1C646FED"/>
    <w:rsid w:val="1CFB2856"/>
    <w:rsid w:val="1D230C56"/>
    <w:rsid w:val="1D8A2328"/>
    <w:rsid w:val="1DCC309C"/>
    <w:rsid w:val="1E660528"/>
    <w:rsid w:val="1F525822"/>
    <w:rsid w:val="210C1A01"/>
    <w:rsid w:val="212C1A8E"/>
    <w:rsid w:val="230D634E"/>
    <w:rsid w:val="23A75A11"/>
    <w:rsid w:val="258E6E89"/>
    <w:rsid w:val="259D3570"/>
    <w:rsid w:val="259D531E"/>
    <w:rsid w:val="259F1096"/>
    <w:rsid w:val="261455E0"/>
    <w:rsid w:val="26C2328E"/>
    <w:rsid w:val="26E71FF8"/>
    <w:rsid w:val="285919D0"/>
    <w:rsid w:val="2C300C99"/>
    <w:rsid w:val="2F330613"/>
    <w:rsid w:val="2F48454C"/>
    <w:rsid w:val="303625F7"/>
    <w:rsid w:val="30BB1E44"/>
    <w:rsid w:val="30CE0A81"/>
    <w:rsid w:val="326A47D9"/>
    <w:rsid w:val="32931F82"/>
    <w:rsid w:val="33344B5B"/>
    <w:rsid w:val="334544DA"/>
    <w:rsid w:val="33B0446E"/>
    <w:rsid w:val="343155AF"/>
    <w:rsid w:val="350C3926"/>
    <w:rsid w:val="35B26607"/>
    <w:rsid w:val="35D94150"/>
    <w:rsid w:val="36EF3746"/>
    <w:rsid w:val="388008B3"/>
    <w:rsid w:val="38CC1D4A"/>
    <w:rsid w:val="390F40F4"/>
    <w:rsid w:val="39783C80"/>
    <w:rsid w:val="397877DC"/>
    <w:rsid w:val="39C120F3"/>
    <w:rsid w:val="39CA7828"/>
    <w:rsid w:val="39FC21BB"/>
    <w:rsid w:val="3A700C53"/>
    <w:rsid w:val="3B5D137F"/>
    <w:rsid w:val="3BDF1D94"/>
    <w:rsid w:val="3C5C1637"/>
    <w:rsid w:val="3C6109FB"/>
    <w:rsid w:val="3C6A3D54"/>
    <w:rsid w:val="3EB24704"/>
    <w:rsid w:val="3FB83028"/>
    <w:rsid w:val="403C5A07"/>
    <w:rsid w:val="41F12821"/>
    <w:rsid w:val="42F61818"/>
    <w:rsid w:val="43437D8F"/>
    <w:rsid w:val="435E3EE6"/>
    <w:rsid w:val="43F558C4"/>
    <w:rsid w:val="44D02BC2"/>
    <w:rsid w:val="455C4456"/>
    <w:rsid w:val="45B264B8"/>
    <w:rsid w:val="46674FDF"/>
    <w:rsid w:val="46F10BCE"/>
    <w:rsid w:val="474E6020"/>
    <w:rsid w:val="4A793372"/>
    <w:rsid w:val="4D07739D"/>
    <w:rsid w:val="4D43272D"/>
    <w:rsid w:val="50302767"/>
    <w:rsid w:val="50F419E6"/>
    <w:rsid w:val="515572A6"/>
    <w:rsid w:val="52A77371"/>
    <w:rsid w:val="5325057D"/>
    <w:rsid w:val="53BA3F2F"/>
    <w:rsid w:val="53FF2B7C"/>
    <w:rsid w:val="547D1CF3"/>
    <w:rsid w:val="557A3F52"/>
    <w:rsid w:val="56B75990"/>
    <w:rsid w:val="56F00EA2"/>
    <w:rsid w:val="56FC7846"/>
    <w:rsid w:val="57BE4183"/>
    <w:rsid w:val="5A9304C2"/>
    <w:rsid w:val="5B0D2022"/>
    <w:rsid w:val="5B7653F3"/>
    <w:rsid w:val="5C05719D"/>
    <w:rsid w:val="5CA63B2F"/>
    <w:rsid w:val="5E3C5349"/>
    <w:rsid w:val="5E602469"/>
    <w:rsid w:val="5EE94B54"/>
    <w:rsid w:val="5F677827"/>
    <w:rsid w:val="5F93061C"/>
    <w:rsid w:val="5FD2383A"/>
    <w:rsid w:val="60AD570E"/>
    <w:rsid w:val="619D39D4"/>
    <w:rsid w:val="61A82AA5"/>
    <w:rsid w:val="62E258C4"/>
    <w:rsid w:val="62F14310"/>
    <w:rsid w:val="64665769"/>
    <w:rsid w:val="66430FEE"/>
    <w:rsid w:val="66BB5028"/>
    <w:rsid w:val="66F10A4A"/>
    <w:rsid w:val="67492634"/>
    <w:rsid w:val="68B17BB0"/>
    <w:rsid w:val="69025247"/>
    <w:rsid w:val="698067CB"/>
    <w:rsid w:val="6A2F22D8"/>
    <w:rsid w:val="6B1B3633"/>
    <w:rsid w:val="6BD050D2"/>
    <w:rsid w:val="6C68355C"/>
    <w:rsid w:val="6C9D33C3"/>
    <w:rsid w:val="6C9F2CF6"/>
    <w:rsid w:val="6E631E9D"/>
    <w:rsid w:val="6F1C56FB"/>
    <w:rsid w:val="6F3940D1"/>
    <w:rsid w:val="6FB62831"/>
    <w:rsid w:val="70FD3D96"/>
    <w:rsid w:val="71542301"/>
    <w:rsid w:val="73B2330F"/>
    <w:rsid w:val="747A1B80"/>
    <w:rsid w:val="753E3BF1"/>
    <w:rsid w:val="75610B49"/>
    <w:rsid w:val="757F1917"/>
    <w:rsid w:val="76E934EC"/>
    <w:rsid w:val="783C3AEF"/>
    <w:rsid w:val="78727511"/>
    <w:rsid w:val="79073EB3"/>
    <w:rsid w:val="796C0FD0"/>
    <w:rsid w:val="7A8D23E0"/>
    <w:rsid w:val="7A8D5E8D"/>
    <w:rsid w:val="7AB67B89"/>
    <w:rsid w:val="7B9D1C40"/>
    <w:rsid w:val="7BEE3352"/>
    <w:rsid w:val="7C29782E"/>
    <w:rsid w:val="7C345209"/>
    <w:rsid w:val="7CA13F21"/>
    <w:rsid w:val="7CFD384D"/>
    <w:rsid w:val="7E2D15A6"/>
    <w:rsid w:val="7E7C0CB0"/>
    <w:rsid w:val="7EDB5E10"/>
    <w:rsid w:val="7F437CB6"/>
    <w:rsid w:val="7F480FCB"/>
    <w:rsid w:val="D75B8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toa heading"/>
    <w:basedOn w:val="1"/>
    <w:next w:val="1"/>
    <w:qFormat/>
    <w:uiPriority w:val="0"/>
    <w:pPr>
      <w:spacing w:before="120"/>
    </w:pPr>
    <w:rPr>
      <w:rFonts w:ascii="DejaVu Sans" w:hAnsi="DejaVu Sans"/>
      <w:sz w:val="24"/>
    </w:rPr>
  </w:style>
  <w:style w:type="paragraph" w:styleId="4">
    <w:name w:val="Body Text 3"/>
    <w:basedOn w:val="1"/>
    <w:autoRedefine/>
    <w:qFormat/>
    <w:uiPriority w:val="0"/>
    <w:rPr>
      <w:rFonts w:ascii="宋体" w:hAnsi="Calibri"/>
      <w:sz w:val="24"/>
      <w:szCs w:val="20"/>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360" w:lineRule="auto"/>
      <w:ind w:firstLine="420"/>
    </w:pPr>
    <w:rPr>
      <w:szCs w:val="20"/>
    </w:rPr>
  </w:style>
  <w:style w:type="paragraph" w:styleId="7">
    <w:name w:val="Balloon Text"/>
    <w:basedOn w:val="1"/>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autoRedefine/>
    <w:qFormat/>
    <w:uiPriority w:val="0"/>
    <w:pPr>
      <w:ind w:left="720"/>
    </w:pPr>
    <w:rPr>
      <w:szCs w:val="20"/>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qFormat/>
    <w:uiPriority w:val="0"/>
    <w:rPr>
      <w:color w:val="0000FF"/>
      <w:u w:val="none"/>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5639</Words>
  <Characters>6024</Characters>
  <Lines>29</Lines>
  <Paragraphs>8</Paragraphs>
  <TotalTime>0</TotalTime>
  <ScaleCrop>false</ScaleCrop>
  <LinksUpToDate>false</LinksUpToDate>
  <CharactersWithSpaces>6283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張張</cp:lastModifiedBy>
  <dcterms:modified xsi:type="dcterms:W3CDTF">2024-06-11T01:29:42Z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