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蒙牛乳业常温宿迁二期自动盖篷布设备采购项目</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询比价信息公告</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内蒙古蒙牛乳业（集团）股份有限公司就蒙牛乳业常温宿迁二期自动盖篷布设备采购项目进行询比价, 欢迎符合资格条件的供应商参加。</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：MNCGJH-20240606-0007</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蒙牛乳业常温宿迁二期自动盖篷布设备采购项目</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sz w:val="21"/>
          <w:szCs w:val="21"/>
        </w:rPr>
      </w:pPr>
      <w:r>
        <w:rPr>
          <w:rFonts w:hint="eastAsia" w:ascii="仿宋" w:hAnsi="仿宋" w:eastAsia="仿宋" w:cs="仿宋"/>
          <w:b/>
          <w:bCs/>
          <w:kern w:val="2"/>
          <w:sz w:val="24"/>
          <w:szCs w:val="24"/>
          <w:lang w:val="en-US" w:eastAsia="zh-CN" w:bidi="ar-SA"/>
        </w:rPr>
        <w:t>三、项目概况：</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1、概况：宿迁二期物流平台车辆装货完成后，需由 2 人上车顶将篷布散开盖货车车身并进行固定，安装篷布的同时容易对产成品进行踩踏、挤压等动作，存在安全隐患和质量风险，且人工盖篷布时效性差。现申请将宿迁二期物流处装车平台安装自动盖篷布设备，降低物流司机安全隐患，提高物流工作效率，避免篷布铺盖工作对货物的踩踏，降低工人劳动强度。</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范围：</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采购自动盖篷布设备一套，包含材料的图纸设计费、运输装卸费、其他辅材费、安装调试费。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四、资格要求：</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竞价人</w:t>
      </w:r>
      <w:r>
        <w:rPr>
          <w:rFonts w:hint="eastAsia" w:ascii="仿宋" w:hAnsi="仿宋" w:eastAsia="仿宋" w:cs="仿宋"/>
          <w:sz w:val="24"/>
          <w:szCs w:val="24"/>
          <w:lang w:val="en-US" w:eastAsia="zh-CN"/>
        </w:rPr>
        <w:t>必须是在中华人民共和国境内注册的具有独立法人资格的企事业单位，经营范围必须具有机械设备生产制造、安装、维修、销售等相关资质，</w:t>
      </w:r>
      <w:r>
        <w:rPr>
          <w:rFonts w:hint="eastAsia" w:ascii="仿宋" w:hAnsi="仿宋" w:eastAsia="仿宋" w:cs="仿宋"/>
          <w:sz w:val="24"/>
          <w:szCs w:val="24"/>
          <w:highlight w:val="none"/>
          <w:lang w:val="en-US" w:eastAsia="zh-CN"/>
        </w:rPr>
        <w:t>以企业营业执照为准</w:t>
      </w:r>
      <w:r>
        <w:rPr>
          <w:rFonts w:hint="eastAsia" w:ascii="仿宋" w:hAnsi="仿宋" w:eastAsia="仿宋" w:cs="仿宋"/>
          <w:color w:val="000000"/>
          <w:sz w:val="24"/>
          <w:lang w:val="en-US" w:eastAsia="zh-CN"/>
        </w:rPr>
        <w:t>；且具有有效的</w:t>
      </w:r>
      <w:r>
        <w:rPr>
          <w:rFonts w:hint="eastAsia" w:ascii="仿宋" w:hAnsi="仿宋" w:eastAsia="仿宋" w:cs="仿宋"/>
          <w:sz w:val="24"/>
          <w:szCs w:val="24"/>
          <w:lang w:val="en-US" w:eastAsia="zh-CN"/>
        </w:rPr>
        <w:t>开户行许可证。</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须具有一般纳税人认定资格。</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授权委托人须为本企业在职人员；</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须具有2020至2022年或2021至2023年</w:t>
      </w:r>
      <w:r>
        <w:rPr>
          <w:rFonts w:hint="eastAsia" w:ascii="仿宋" w:hAnsi="仿宋" w:eastAsia="仿宋" w:cs="仿宋"/>
          <w:color w:val="000000"/>
          <w:sz w:val="24"/>
          <w:lang w:val="en-US" w:eastAsia="zh-CN"/>
        </w:rPr>
        <w:t>财务报表或</w:t>
      </w:r>
      <w:r>
        <w:rPr>
          <w:rFonts w:hint="eastAsia" w:ascii="仿宋" w:hAnsi="仿宋" w:eastAsia="仿宋" w:cs="仿宋"/>
          <w:color w:val="000000"/>
          <w:sz w:val="24"/>
        </w:rPr>
        <w:t>第三方财务审计报告；</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年1月1日至今须具有</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个及以上类似项目业绩（以合同</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订单或验收报告</w:t>
      </w:r>
      <w:r>
        <w:rPr>
          <w:rFonts w:hint="eastAsia" w:ascii="仿宋" w:hAnsi="仿宋" w:eastAsia="仿宋" w:cs="仿宋"/>
          <w:color w:val="000000"/>
          <w:sz w:val="24"/>
        </w:rPr>
        <w:t>为准）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未被列入国家企业信用信息公示系统（http://www.gsxt.gov.cn/index.html）严重违法失信企业名单。</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rPr>
        <w:t>）与采购人存在利害关系可能影响采购公正性的法人、其他组织或者个人，不得参加</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；单位负责人为同一人或者存在控股、管理关系的不同单位，不得参加同一标段</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或者未划分标段的同一采购项目</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；存在以上情况的，在通过资格预审的情况下，允许最先报名的潜在竞谈人参与</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）本次项目不接受联合体竞</w:t>
      </w:r>
      <w:r>
        <w:rPr>
          <w:rFonts w:hint="eastAsia" w:ascii="仿宋" w:hAnsi="仿宋" w:eastAsia="仿宋" w:cs="仿宋"/>
          <w:color w:val="000000"/>
          <w:sz w:val="24"/>
          <w:lang w:val="en-US" w:eastAsia="zh-CN"/>
        </w:rPr>
        <w:t>价</w:t>
      </w:r>
      <w:r>
        <w:rPr>
          <w:rFonts w:hint="eastAsia" w:ascii="仿宋" w:hAnsi="仿宋" w:eastAsia="仿宋" w:cs="仿宋"/>
          <w:color w:val="000000"/>
          <w:sz w:val="24"/>
        </w:rPr>
        <w:t>，不允许分包或转包。</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rPr>
        <w:t xml:space="preserve">）不接受中粮及蒙牛供应商黑名单（以蒙牛集团招投标管理部下发的黑名单为准）的企业参与竞争。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五、报名须知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1、报名资格文件的组成及顺序按照如下要求提供：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（1）提供有效的营业执照（副本）、有效的开户行许可证；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（2）提供一般纳税人资格证明材料、并提供企业最近1年任意3个月的依法纳税证明材料和社保缴纳证明材料；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备注：法定代表人须上传法人证明材料及身份证原件扫描件，若为被授权人须上传一份法人授权委托书和身份证原件扫描件及授权委托人近一年内在本单位的社保证明材料。</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（4）提供近三年（2020至2022年或2021至2023年）的财务报表或经过第三方专业审计机构出具的财务审计报告；</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highlight w:val="none"/>
          <w:lang w:val="en-US" w:eastAsia="zh-CN"/>
        </w:rPr>
        <w:t>）提供2022年1月1日至今至少一个类似项目业绩</w:t>
      </w:r>
      <w:r>
        <w:rPr>
          <w:rFonts w:hint="eastAsia" w:ascii="仿宋" w:hAnsi="仿宋" w:eastAsia="仿宋" w:cs="仿宋"/>
          <w:color w:val="000000"/>
          <w:sz w:val="24"/>
        </w:rPr>
        <w:t>（以合同</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订单或验收报告</w:t>
      </w:r>
      <w:r>
        <w:rPr>
          <w:rFonts w:hint="eastAsia" w:ascii="仿宋" w:hAnsi="仿宋" w:eastAsia="仿宋" w:cs="仿宋"/>
          <w:color w:val="000000"/>
          <w:sz w:val="24"/>
        </w:rPr>
        <w:t>为准）</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（6）提供竞价人未被列入国家企业信用信息公示系统（</w:t>
      </w:r>
      <w:r>
        <w:rPr>
          <w:rFonts w:hint="eastAsia" w:ascii="仿宋" w:hAnsi="仿宋" w:eastAsia="仿宋" w:cs="仿宋"/>
          <w:color w:val="auto"/>
          <w:sz w:val="24"/>
          <w:szCs w:val="24"/>
          <w:u w:val="none"/>
          <w:lang w:val="en-US" w:eastAsia="zh-CN"/>
        </w:rPr>
        <w:t>http://www.gsxt.gov.cn/index.html）严重违法失信企业名单</w:t>
      </w:r>
      <w:r>
        <w:rPr>
          <w:rFonts w:hint="eastAsia" w:ascii="仿宋" w:hAnsi="仿宋" w:eastAsia="仿宋" w:cs="仿宋"/>
          <w:sz w:val="24"/>
          <w:szCs w:val="24"/>
          <w:lang w:val="en-US" w:eastAsia="zh-CN"/>
        </w:rPr>
        <w:t>证明。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（7）提供潜在竞价单位报名提供信息表（附件1）</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（8）提供保密承诺书（附件2）</w:t>
      </w:r>
    </w:p>
    <w:p>
      <w:pPr>
        <w:pStyle w:val="18"/>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lang w:val="en-US" w:eastAsia="zh-CN"/>
        </w:rPr>
        <w:t>“蒙牛集团电子采购招标平台（</w:t>
      </w:r>
      <w:r>
        <w:rPr>
          <w:rFonts w:hint="eastAsia" w:ascii="仿宋" w:hAnsi="仿宋" w:eastAsia="仿宋" w:cs="仿宋"/>
          <w:color w:val="auto"/>
          <w:sz w:val="24"/>
          <w:szCs w:val="24"/>
          <w:u w:val="none"/>
          <w:lang w:val="en-US" w:eastAsia="zh-CN"/>
        </w:rPr>
        <w:t>https://zbcg.mengniu.cn/#/home</w:t>
      </w:r>
      <w:r>
        <w:rPr>
          <w:rFonts w:hint="eastAsia" w:ascii="仿宋" w:hAnsi="仿宋" w:eastAsia="仿宋" w:cs="仿宋"/>
          <w:sz w:val="24"/>
          <w:szCs w:val="24"/>
          <w:lang w:val="en-US" w:eastAsia="zh-CN"/>
        </w:rPr>
        <w:t xml:space="preserve"> ）”</w:t>
      </w:r>
      <w:bookmarkEnd w:id="0"/>
      <w:r>
        <w:rPr>
          <w:rFonts w:hint="eastAsia" w:ascii="仿宋" w:hAnsi="仿宋" w:eastAsia="仿宋" w:cs="仿宋"/>
          <w:sz w:val="24"/>
          <w:szCs w:val="24"/>
          <w:lang w:val="en-US" w:eastAsia="zh-CN"/>
        </w:rPr>
        <w:t>进行线上提交，进行资格审查（过期提交不予受理），审查合格后方可领取询报价单（仅作为发放询报价单的依据）。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竞价人自领取询报价单之日起，应确保其向采购人或招标代理机构提供的通讯手段（电话、邮箱）一直有效，以保证往来函件能及时传达并及时反馈信息，否则由此引起的一切后果由竞价人承担。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竞价人依据资格要求自主评估，符合条件的登录“蒙牛集团电子采购招标平台”进行网上报名、资格验证、下载询报价单、澄清答疑和参与竞价会等，过程中如有疑问可咨询平台服务支持或咨询采购方业务咨询联系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sz w:val="24"/>
          <w:szCs w:val="24"/>
          <w:lang w:val="en-US" w:eastAsia="zh-CN"/>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竞价人自收到询报价单之日起，应确保其向采购人提供的通讯手段（电话、邮箱）一直有效，以保证往来函件能及时传达并及时反馈信息，否则由此引起的一切后果由人竞价人承担。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六、项目时间安排及要求：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1、报名时间：</w:t>
      </w:r>
      <w:r>
        <w:rPr>
          <w:rFonts w:hint="eastAsia" w:ascii="仿宋" w:hAnsi="仿宋" w:eastAsia="仿宋" w:cs="仿宋"/>
          <w:sz w:val="24"/>
          <w:szCs w:val="24"/>
          <w:lang w:val="en-US" w:eastAsia="zh-CN"/>
        </w:rPr>
        <w:t>2024年6月11日12时0分0秒至2024年6月14日23时59分59秒；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2、资格预审时间：</w:t>
      </w:r>
      <w:r>
        <w:rPr>
          <w:rFonts w:hint="eastAsia" w:ascii="仿宋" w:hAnsi="仿宋" w:eastAsia="仿宋" w:cs="仿宋"/>
          <w:sz w:val="24"/>
          <w:szCs w:val="24"/>
          <w:lang w:val="en-US" w:eastAsia="zh-CN"/>
        </w:rPr>
        <w:t>2024年6月15日00时0分0秒至2024年6月16日12时0分0秒；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3、询价单发放时间：</w:t>
      </w:r>
      <w:r>
        <w:rPr>
          <w:rFonts w:hint="eastAsia" w:ascii="仿宋" w:hAnsi="仿宋" w:eastAsia="仿宋" w:cs="仿宋"/>
          <w:sz w:val="24"/>
          <w:szCs w:val="24"/>
          <w:lang w:val="en-US" w:eastAsia="zh-CN"/>
        </w:rPr>
        <w:t>2024年6月18日0时0分0秒至2024年6月19日23时59分59秒；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4、比价时间</w:t>
      </w:r>
      <w:r>
        <w:rPr>
          <w:rFonts w:hint="eastAsia" w:ascii="仿宋" w:hAnsi="仿宋" w:eastAsia="仿宋" w:cs="仿宋"/>
          <w:sz w:val="24"/>
          <w:szCs w:val="24"/>
          <w:lang w:val="en-US" w:eastAsia="zh-CN"/>
        </w:rPr>
        <w:t>：2024年6月21日09:30时；</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color w:val="000000"/>
          <w:sz w:val="21"/>
          <w:szCs w:val="21"/>
          <w:lang w:val="en-US" w:eastAsia="zh-CN"/>
        </w:rPr>
      </w:pPr>
      <w:r>
        <w:rPr>
          <w:rFonts w:hint="eastAsia" w:ascii="仿宋" w:hAnsi="仿宋" w:eastAsia="仿宋" w:cs="仿宋"/>
          <w:b/>
          <w:bCs/>
          <w:kern w:val="2"/>
          <w:sz w:val="24"/>
          <w:szCs w:val="24"/>
          <w:lang w:val="en-US" w:eastAsia="zh-CN" w:bidi="ar-SA"/>
        </w:rPr>
        <w:t>七、询比价地点：</w:t>
      </w:r>
      <w:r>
        <w:rPr>
          <w:rFonts w:hint="eastAsia" w:ascii="仿宋" w:hAnsi="仿宋" w:eastAsia="仿宋" w:cs="仿宋"/>
          <w:kern w:val="2"/>
          <w:sz w:val="24"/>
          <w:szCs w:val="24"/>
          <w:lang w:val="en-US" w:eastAsia="zh-CN" w:bidi="ar-SA"/>
        </w:rPr>
        <w:t>蒙牛集团电子采购招标平台（https://zbcg.mengniu.cn/）</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八、发布媒体：</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中国招标投标公共服务平台（http://www.cebpubservice.com/）</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蒙牛集团电子招标采购交易平台（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蒙牛官网（http://www.mengniu.com.cn）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蒙牛内部OA平台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只在以上平台发布，其他任何媒体转载无效。</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九、采购招标实施方及联系方式：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采购方：</w:t>
      </w:r>
      <w:r>
        <w:rPr>
          <w:rFonts w:hint="eastAsia" w:ascii="仿宋" w:hAnsi="仿宋" w:eastAsia="仿宋" w:cs="仿宋"/>
          <w:sz w:val="24"/>
          <w:szCs w:val="24"/>
          <w:lang w:val="en-US" w:eastAsia="zh-CN"/>
        </w:rPr>
        <w:t>内蒙古蒙牛乳业（集团）股份有限公司</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业务咨询联系人：</w:t>
      </w:r>
      <w:r>
        <w:rPr>
          <w:rFonts w:hint="eastAsia" w:ascii="仿宋" w:hAnsi="仿宋" w:eastAsia="仿宋" w:cs="仿宋"/>
          <w:sz w:val="24"/>
          <w:szCs w:val="24"/>
          <w:lang w:val="en-US" w:eastAsia="zh-CN"/>
        </w:rPr>
        <w:t xml:space="preserve">张嘉馨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15148996062</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十、监督单位及联系方式：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监督单位：</w:t>
      </w:r>
      <w:r>
        <w:rPr>
          <w:rFonts w:hint="eastAsia" w:ascii="仿宋" w:hAnsi="仿宋" w:eastAsia="仿宋" w:cs="仿宋"/>
          <w:sz w:val="24"/>
          <w:szCs w:val="24"/>
          <w:lang w:val="en-US" w:eastAsia="zh-CN"/>
        </w:rPr>
        <w:t>内蒙古蒙牛乳业（集团）股份有限公司采购招标管理部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异议/投诉服务网址：</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"https://zbcg.mengniu.cn/" \l "/home"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https://zbcg.mengniu.cn/#/home</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 督 人:</w:t>
      </w:r>
      <w:r>
        <w:rPr>
          <w:rFonts w:hint="eastAsia" w:ascii="仿宋" w:hAnsi="仿宋" w:eastAsia="仿宋" w:cs="仿宋"/>
          <w:sz w:val="24"/>
          <w:szCs w:val="24"/>
          <w:lang w:val="en-US" w:eastAsia="zh-CN"/>
        </w:rPr>
        <w:t xml:space="preserve">郑建东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0471-7393642/15034927966</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电子邮件：</w:t>
      </w:r>
      <w:r>
        <w:rPr>
          <w:rFonts w:hint="eastAsia" w:ascii="仿宋" w:hAnsi="仿宋" w:eastAsia="仿宋" w:cs="仿宋"/>
          <w:sz w:val="24"/>
          <w:szCs w:val="24"/>
          <w:lang w:val="en-US" w:eastAsia="zh-CN"/>
        </w:rPr>
        <w:t>zhengjiandong@mengniu.cn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kinsoku/>
        <w:overflowPunct/>
        <w:bidi w:val="0"/>
        <w:spacing w:line="460" w:lineRule="exact"/>
        <w:ind w:left="0" w:leftChars="0" w:right="0" w:rightChars="0" w:firstLine="422" w:firstLineChars="200"/>
        <w:jc w:val="left"/>
        <w:textAlignment w:val="auto"/>
        <w:rPr>
          <w:rFonts w:hint="eastAsia" w:ascii="仿宋" w:hAnsi="仿宋" w:eastAsia="仿宋" w:cs="仿宋"/>
          <w:b/>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附件：</w:t>
      </w:r>
      <w:r>
        <w:rPr>
          <w:rFonts w:hint="eastAsia" w:ascii="仿宋" w:hAnsi="仿宋" w:eastAsia="仿宋" w:cs="仿宋"/>
          <w:sz w:val="24"/>
          <w:szCs w:val="24"/>
          <w:lang w:val="en-US" w:eastAsia="zh-CN"/>
        </w:rPr>
        <w:t>1.潜在竞价单位报名提供信息表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200" w:firstLineChars="5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2.保密承诺书</w:t>
      </w: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采购方：内蒙古蒙牛乳业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集团</w:t>
      </w:r>
      <w:r>
        <w:rPr>
          <w:rFonts w:hint="eastAsia" w:ascii="仿宋" w:hAnsi="仿宋" w:eastAsia="仿宋" w:cs="仿宋"/>
          <w:sz w:val="24"/>
          <w:szCs w:val="24"/>
          <w:lang w:eastAsia="zh-CN"/>
        </w:rPr>
        <w:t>）</w:t>
      </w:r>
      <w:r>
        <w:rPr>
          <w:rFonts w:hint="eastAsia" w:ascii="仿宋" w:hAnsi="仿宋" w:eastAsia="仿宋" w:cs="仿宋"/>
          <w:sz w:val="24"/>
          <w:szCs w:val="24"/>
        </w:rPr>
        <w:t>股份有限公司</w:t>
      </w:r>
    </w:p>
    <w:p>
      <w:pPr>
        <w:keepNext w:val="0"/>
        <w:keepLines w:val="0"/>
        <w:pageBreakBefore w:val="0"/>
        <w:kinsoku/>
        <w:wordWrap w:val="0"/>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bookmarkStart w:id="1" w:name="_GoBack"/>
      <w:bookmarkEnd w:id="1"/>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附件1：</w:t>
      </w:r>
    </w:p>
    <w:p>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1"/>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r>
        <w:rPr>
          <w:rFonts w:hint="eastAsia" w:ascii="仿宋" w:hAnsi="仿宋" w:eastAsia="仿宋" w:cs="仿宋"/>
          <w:sz w:val="21"/>
          <w:szCs w:val="21"/>
        </w:rPr>
        <w:t>附件2：</w:t>
      </w:r>
    </w:p>
    <w:p>
      <w:pPr>
        <w:keepNext w:val="0"/>
        <w:keepLines w:val="0"/>
        <w:pageBreakBefore w:val="0"/>
        <w:widowControl/>
        <w:kinsoku/>
        <w:overflowPunct/>
        <w:bidi w:val="0"/>
        <w:adjustRightInd w:val="0"/>
        <w:snapToGrid w:val="0"/>
        <w:spacing w:line="46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保密承诺书</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甲方：</w:t>
      </w:r>
      <w:r>
        <w:rPr>
          <w:rFonts w:hint="eastAsia" w:ascii="仿宋" w:hAnsi="仿宋" w:eastAsia="仿宋" w:cs="仿宋"/>
          <w:color w:val="000000"/>
          <w:kern w:val="0"/>
          <w:sz w:val="21"/>
          <w:szCs w:val="21"/>
          <w:highlight w:val="none"/>
        </w:rPr>
        <w:t xml:space="preserve">内蒙古蒙牛乳业(集团)股份有限公司 </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甲乙双方就</w:t>
      </w:r>
      <w:r>
        <w:rPr>
          <w:rFonts w:hint="eastAsia" w:ascii="仿宋" w:hAnsi="仿宋" w:eastAsia="仿宋" w:cs="仿宋"/>
          <w:color w:val="000000"/>
          <w:kern w:val="0"/>
          <w:sz w:val="21"/>
          <w:szCs w:val="21"/>
          <w:lang w:val="en-US" w:eastAsia="zh-CN"/>
        </w:rPr>
        <w:t>蒙牛乳业常温宿迁二期自动盖篷布设备采购项目</w:t>
      </w:r>
      <w:r>
        <w:rPr>
          <w:rFonts w:hint="eastAsia" w:ascii="仿宋" w:hAnsi="仿宋" w:eastAsia="仿宋" w:cs="仿宋"/>
          <w:color w:val="000000"/>
          <w:kern w:val="0"/>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一、定义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（一）由乙方以书面文件证明：该等信息已于披露之前已由乙方所持有；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（二）已公开发表或非因乙方作为或不作为的原因，已向公众披露；</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（三）已由甲方书面同意乙方公开；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（四）由乙方在未使用该等机密信息的情形下独立开发；</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（五）乙方从第三方处合法、正当地取得，且该第三方对该等机密信息不承担保密义务。</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二、保密</w:t>
      </w:r>
    </w:p>
    <w:p>
      <w:pPr>
        <w:pStyle w:val="9"/>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1"/>
          <w:szCs w:val="21"/>
        </w:rPr>
        <w:t xml:space="preserve">  </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三、公开</w:t>
      </w:r>
    </w:p>
    <w:p>
      <w:pPr>
        <w:pStyle w:val="9"/>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1"/>
          <w:szCs w:val="21"/>
        </w:rPr>
        <w:t xml:space="preserve">                                                                                                                                                               </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四、强制性披露</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五、返还资料</w:t>
      </w:r>
    </w:p>
    <w:p>
      <w:pPr>
        <w:pStyle w:val="5"/>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在承诺书目的终止、撤消、完成、被拒绝或以其他方式解除后，根据甲方的书面要求，乙方应在项目谈判协商终止后的</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六、非授权许可</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七、义务限定</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本承诺书不得被视作或解释为甲方有义务向乙方提供任何信息、与乙方进行商业交易或签订任何最终协议，除非甲方决定向乙方提供信息或与其签订与交易有关的最终协议。</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八、信息准确性</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九、期限</w:t>
      </w:r>
    </w:p>
    <w:p>
      <w:pPr>
        <w:pStyle w:val="5"/>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本承诺书中乙方之保密义务应自乙方收到机密信息之日起</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年内持续有效，且不因承诺书目的之达成而终止。</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十、补充条款</w:t>
      </w:r>
    </w:p>
    <w:p>
      <w:pPr>
        <w:pStyle w:val="4"/>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（一）合规条款</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2、履约行为合规承诺：乙方承诺具有履行本承诺书约定的能力，且履行行为符合现行法律法规等规范性文件的要求。</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5、劳动用工:</w:t>
      </w:r>
      <w:r>
        <w:rPr>
          <w:rFonts w:hint="eastAsia" w:ascii="仿宋" w:hAnsi="仿宋" w:eastAsia="仿宋" w:cs="仿宋"/>
          <w:sz w:val="21"/>
          <w:szCs w:val="21"/>
        </w:rPr>
        <w:t xml:space="preserve"> </w:t>
      </w:r>
      <w:r>
        <w:rPr>
          <w:rFonts w:hint="eastAsia" w:ascii="仿宋" w:hAnsi="仿宋" w:eastAsia="仿宋" w:cs="仿宋"/>
          <w:color w:val="000000"/>
          <w:sz w:val="21"/>
          <w:szCs w:val="21"/>
        </w:rPr>
        <w:t>乙方承诺不雇佣、使用童工，保障其员工的劳动合法权益，不纵容、支持、实施歧视、威胁员工的行为或发布相关言论。</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7、严格约束乙方员工及其代理人：乙方承诺严格遵守合规承诺条款，若乙方员工及乙方的代理人或代理机构违反相关承诺即视为乙方违反。</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10、责任承担：如果乙方违反前述合规承诺条款，甲方有权要求乙方承担因此而给甲方造成的全部损失。</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12、适用原则：本承诺书中合规条款对乙方的要求与承诺书中其他条款不一致的，以对乙方要求更高的条款为准。</w:t>
      </w:r>
    </w:p>
    <w:p>
      <w:pPr>
        <w:pStyle w:val="4"/>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（二）环境保护</w:t>
      </w:r>
    </w:p>
    <w:p>
      <w:pPr>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sz w:val="21"/>
          <w:szCs w:val="21"/>
        </w:rPr>
      </w:pPr>
      <w:r>
        <w:rPr>
          <w:rFonts w:hint="eastAsia" w:ascii="仿宋" w:hAnsi="仿宋" w:eastAsia="仿宋" w:cs="仿宋"/>
          <w:b/>
          <w:sz w:val="21"/>
          <w:szCs w:val="21"/>
        </w:rPr>
        <w:t>（三）附件法律效力条款</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sz w:val="21"/>
          <w:szCs w:val="21"/>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十一、适用法律</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一</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种方式解决：</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（一）向呼和浩特仲裁委员会申请仲裁。因仲裁产生的包括但不限于仲裁费、律师费、调查费、差旅费等，由乙方承担。</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（二）向甲方所在地有管辖权的人民法院提起诉讼。因诉讼产生的包括但不限于诉讼费、律师费、调查费、差旅费等，由乙方承担。</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十二、违约责任及救济</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overflowPunct/>
        <w:bidi w:val="0"/>
        <w:spacing w:line="460" w:lineRule="exact"/>
        <w:ind w:left="0" w:leftChars="0" w:firstLine="422" w:firstLineChars="200"/>
        <w:rPr>
          <w:rFonts w:hint="eastAsia" w:ascii="仿宋" w:hAnsi="仿宋" w:eastAsia="仿宋" w:cs="仿宋"/>
          <w:color w:val="000000"/>
          <w:kern w:val="0"/>
          <w:sz w:val="21"/>
          <w:szCs w:val="21"/>
        </w:rPr>
      </w:pPr>
      <w:r>
        <w:rPr>
          <w:rFonts w:hint="eastAsia" w:ascii="仿宋" w:hAnsi="仿宋" w:eastAsia="仿宋" w:cs="仿宋"/>
          <w:b/>
          <w:color w:val="000000"/>
          <w:kern w:val="0"/>
          <w:sz w:val="21"/>
          <w:szCs w:val="21"/>
        </w:rPr>
        <w:t>如果</w:t>
      </w:r>
      <w:r>
        <w:rPr>
          <w:rFonts w:hint="eastAsia" w:ascii="仿宋" w:hAnsi="仿宋" w:eastAsia="仿宋" w:cs="仿宋"/>
          <w:b/>
          <w:bCs/>
          <w:color w:val="000000"/>
          <w:kern w:val="0"/>
          <w:sz w:val="21"/>
          <w:szCs w:val="21"/>
        </w:rPr>
        <w:t>乙方</w:t>
      </w:r>
      <w:r>
        <w:rPr>
          <w:rFonts w:hint="eastAsia" w:ascii="仿宋" w:hAnsi="仿宋" w:eastAsia="仿宋" w:cs="仿宋"/>
          <w:b/>
          <w:color w:val="000000"/>
          <w:kern w:val="0"/>
          <w:sz w:val="21"/>
          <w:szCs w:val="21"/>
        </w:rPr>
        <w:t>违反本承诺书的任何规定情形,则甲方有权将乙方拉入蒙牛供应商黑名单，乙方应积极配合甲方在10个工作日内收回已经泄露的信息。</w:t>
      </w:r>
    </w:p>
    <w:p>
      <w:pPr>
        <w:pStyle w:val="4"/>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十三、生效及份数</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本承诺书经乙方签字盖章之日起生效。</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bCs/>
          <w:sz w:val="21"/>
          <w:szCs w:val="21"/>
        </w:rPr>
      </w:pP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（以下无正文）</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 xml:space="preserve">                            </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代表人：</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sz w:val="21"/>
          <w:szCs w:val="21"/>
        </w:rPr>
      </w:pPr>
      <w:r>
        <w:rPr>
          <w:rFonts w:hint="eastAsia" w:ascii="仿宋" w:hAnsi="仿宋" w:eastAsia="仿宋" w:cs="仿宋"/>
          <w:color w:val="000000"/>
          <w:kern w:val="0"/>
          <w:sz w:val="21"/>
          <w:szCs w:val="21"/>
        </w:rPr>
        <w:t>日期：</w:t>
      </w:r>
    </w:p>
    <w:p>
      <w:pPr>
        <w:keepNext w:val="0"/>
        <w:keepLines w:val="0"/>
        <w:pageBreakBefore w:val="0"/>
        <w:kinsoku/>
        <w:overflowPunct/>
        <w:bidi w:val="0"/>
        <w:spacing w:line="460" w:lineRule="exact"/>
        <w:ind w:left="0" w:leftChars="0" w:firstLine="420" w:firstLineChars="200"/>
        <w:rPr>
          <w:rFonts w:hint="eastAsia" w:ascii="楷体_GB2312" w:hAnsi="宋体" w:eastAsia="楷体_GB2312"/>
          <w:sz w:val="21"/>
          <w:szCs w:val="21"/>
        </w:rPr>
      </w:pPr>
    </w:p>
    <w:p>
      <w:pPr>
        <w:pStyle w:val="3"/>
        <w:keepNext w:val="0"/>
        <w:keepLines w:val="0"/>
        <w:pageBreakBefore w:val="0"/>
        <w:kinsoku/>
        <w:overflowPunct/>
        <w:topLinePunct/>
        <w:bidi w:val="0"/>
        <w:adjustRightInd w:val="0"/>
        <w:snapToGrid w:val="0"/>
        <w:spacing w:line="460" w:lineRule="exact"/>
        <w:ind w:left="0" w:leftChars="0" w:right="0" w:rightChars="0" w:firstLine="420" w:firstLineChars="200"/>
        <w:textAlignment w:val="auto"/>
        <w:rPr>
          <w:rFonts w:hint="eastAsia" w:ascii="仿宋" w:hAnsi="仿宋" w:eastAsia="仿宋" w:cs="仿宋"/>
          <w:sz w:val="21"/>
          <w:szCs w:val="21"/>
        </w:rPr>
      </w:pPr>
      <w:r>
        <w:rPr>
          <w:rFonts w:hint="eastAsia" w:ascii="楷体_GB2312" w:hAnsi="仿宋" w:eastAsia="楷体_GB2312"/>
          <w:sz w:val="21"/>
          <w:szCs w:val="21"/>
        </w:rPr>
        <w:t>　　　　　　　　　　　　　</w:t>
      </w:r>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TUxYjU2YjM0YzYzZGM2N2VkNDk0NGUxNWE4NWUifQ=="/>
  </w:docVars>
  <w:rsids>
    <w:rsidRoot w:val="000F4331"/>
    <w:rsid w:val="00070451"/>
    <w:rsid w:val="00092E93"/>
    <w:rsid w:val="000F4331"/>
    <w:rsid w:val="00106509"/>
    <w:rsid w:val="00114A49"/>
    <w:rsid w:val="00125794"/>
    <w:rsid w:val="00154039"/>
    <w:rsid w:val="00173167"/>
    <w:rsid w:val="001B6352"/>
    <w:rsid w:val="001D3E3F"/>
    <w:rsid w:val="0021010E"/>
    <w:rsid w:val="0024228C"/>
    <w:rsid w:val="002471ED"/>
    <w:rsid w:val="00276E33"/>
    <w:rsid w:val="0028225C"/>
    <w:rsid w:val="0029371A"/>
    <w:rsid w:val="002D4C85"/>
    <w:rsid w:val="00334CBB"/>
    <w:rsid w:val="0033564C"/>
    <w:rsid w:val="0034534E"/>
    <w:rsid w:val="0038487B"/>
    <w:rsid w:val="003B6EF3"/>
    <w:rsid w:val="003F4823"/>
    <w:rsid w:val="0041481A"/>
    <w:rsid w:val="00443121"/>
    <w:rsid w:val="004522A4"/>
    <w:rsid w:val="004631BA"/>
    <w:rsid w:val="00467241"/>
    <w:rsid w:val="00472CCC"/>
    <w:rsid w:val="004C38AE"/>
    <w:rsid w:val="00570DEA"/>
    <w:rsid w:val="005831E4"/>
    <w:rsid w:val="005D6697"/>
    <w:rsid w:val="00657C10"/>
    <w:rsid w:val="00666EE6"/>
    <w:rsid w:val="00667FF2"/>
    <w:rsid w:val="00671957"/>
    <w:rsid w:val="006945F3"/>
    <w:rsid w:val="006B6C3A"/>
    <w:rsid w:val="006C345F"/>
    <w:rsid w:val="00727111"/>
    <w:rsid w:val="007A53D7"/>
    <w:rsid w:val="007B6B47"/>
    <w:rsid w:val="008107ED"/>
    <w:rsid w:val="0082709A"/>
    <w:rsid w:val="008951B8"/>
    <w:rsid w:val="008A71C1"/>
    <w:rsid w:val="00912D0A"/>
    <w:rsid w:val="00964DED"/>
    <w:rsid w:val="00975D66"/>
    <w:rsid w:val="0098500F"/>
    <w:rsid w:val="009A53E0"/>
    <w:rsid w:val="009C0E42"/>
    <w:rsid w:val="009E0A16"/>
    <w:rsid w:val="00AB418C"/>
    <w:rsid w:val="00AB7B2B"/>
    <w:rsid w:val="00AC49D0"/>
    <w:rsid w:val="00AD0824"/>
    <w:rsid w:val="00AD565F"/>
    <w:rsid w:val="00AF61E6"/>
    <w:rsid w:val="00B3033E"/>
    <w:rsid w:val="00B54CF7"/>
    <w:rsid w:val="00BB598C"/>
    <w:rsid w:val="00C23AF0"/>
    <w:rsid w:val="00C42B89"/>
    <w:rsid w:val="00C60722"/>
    <w:rsid w:val="00C7129A"/>
    <w:rsid w:val="00DC0575"/>
    <w:rsid w:val="00E03B81"/>
    <w:rsid w:val="00E13822"/>
    <w:rsid w:val="00EA1469"/>
    <w:rsid w:val="00EA389B"/>
    <w:rsid w:val="00ED6E48"/>
    <w:rsid w:val="00EF0456"/>
    <w:rsid w:val="00F1123A"/>
    <w:rsid w:val="00FD24A5"/>
    <w:rsid w:val="01347A59"/>
    <w:rsid w:val="018954EA"/>
    <w:rsid w:val="01B166F6"/>
    <w:rsid w:val="047540F8"/>
    <w:rsid w:val="05D15782"/>
    <w:rsid w:val="077566D6"/>
    <w:rsid w:val="09293C1C"/>
    <w:rsid w:val="0B6D4268"/>
    <w:rsid w:val="0BAE0408"/>
    <w:rsid w:val="0C57284E"/>
    <w:rsid w:val="0C965492"/>
    <w:rsid w:val="0D360258"/>
    <w:rsid w:val="0D3957E6"/>
    <w:rsid w:val="0EC817E1"/>
    <w:rsid w:val="0F384BB8"/>
    <w:rsid w:val="0F576528"/>
    <w:rsid w:val="0F625791"/>
    <w:rsid w:val="10537E12"/>
    <w:rsid w:val="10563548"/>
    <w:rsid w:val="11D0732A"/>
    <w:rsid w:val="11FB6447"/>
    <w:rsid w:val="12A04F4F"/>
    <w:rsid w:val="13734411"/>
    <w:rsid w:val="13AC7923"/>
    <w:rsid w:val="13C11EE8"/>
    <w:rsid w:val="142918A0"/>
    <w:rsid w:val="14642650"/>
    <w:rsid w:val="14FE7D0A"/>
    <w:rsid w:val="155E4C4D"/>
    <w:rsid w:val="15BB209F"/>
    <w:rsid w:val="16C15493"/>
    <w:rsid w:val="17D47448"/>
    <w:rsid w:val="181B3609"/>
    <w:rsid w:val="18AB63FB"/>
    <w:rsid w:val="1C4A7CD9"/>
    <w:rsid w:val="1C4E1880"/>
    <w:rsid w:val="1C646FED"/>
    <w:rsid w:val="1C77216C"/>
    <w:rsid w:val="1CFB2856"/>
    <w:rsid w:val="1D230C56"/>
    <w:rsid w:val="1D8A2328"/>
    <w:rsid w:val="1DCC309C"/>
    <w:rsid w:val="1E660528"/>
    <w:rsid w:val="1F525822"/>
    <w:rsid w:val="20A756FA"/>
    <w:rsid w:val="210C1A01"/>
    <w:rsid w:val="212C1A8E"/>
    <w:rsid w:val="230D634E"/>
    <w:rsid w:val="23A75A11"/>
    <w:rsid w:val="258E6E89"/>
    <w:rsid w:val="259D3570"/>
    <w:rsid w:val="259D531E"/>
    <w:rsid w:val="259F1096"/>
    <w:rsid w:val="261455E0"/>
    <w:rsid w:val="26C2328E"/>
    <w:rsid w:val="26E71FF8"/>
    <w:rsid w:val="285919D0"/>
    <w:rsid w:val="2C300C99"/>
    <w:rsid w:val="2D3E1194"/>
    <w:rsid w:val="2F330613"/>
    <w:rsid w:val="2F48454C"/>
    <w:rsid w:val="303625F7"/>
    <w:rsid w:val="30A83C43"/>
    <w:rsid w:val="30BB1E44"/>
    <w:rsid w:val="30CE0A81"/>
    <w:rsid w:val="326A47D9"/>
    <w:rsid w:val="32931F82"/>
    <w:rsid w:val="33344B5B"/>
    <w:rsid w:val="334544DA"/>
    <w:rsid w:val="33B0446E"/>
    <w:rsid w:val="343155AF"/>
    <w:rsid w:val="34BB756E"/>
    <w:rsid w:val="350C3926"/>
    <w:rsid w:val="35B26607"/>
    <w:rsid w:val="35D94150"/>
    <w:rsid w:val="362353CB"/>
    <w:rsid w:val="36EF3746"/>
    <w:rsid w:val="388008B3"/>
    <w:rsid w:val="38CC1D4A"/>
    <w:rsid w:val="390F40F4"/>
    <w:rsid w:val="39783C80"/>
    <w:rsid w:val="397877DC"/>
    <w:rsid w:val="39C120F3"/>
    <w:rsid w:val="39CA7828"/>
    <w:rsid w:val="39FC21BB"/>
    <w:rsid w:val="3A700C53"/>
    <w:rsid w:val="3B5D137F"/>
    <w:rsid w:val="3BDF1D94"/>
    <w:rsid w:val="3C5C1637"/>
    <w:rsid w:val="3C6109FB"/>
    <w:rsid w:val="3C6A3D54"/>
    <w:rsid w:val="3EB24704"/>
    <w:rsid w:val="3F8F3AD1"/>
    <w:rsid w:val="3FB83028"/>
    <w:rsid w:val="403C5A07"/>
    <w:rsid w:val="41F12821"/>
    <w:rsid w:val="42F61818"/>
    <w:rsid w:val="43437D8F"/>
    <w:rsid w:val="43F558C4"/>
    <w:rsid w:val="44D02BC2"/>
    <w:rsid w:val="455C4456"/>
    <w:rsid w:val="45B264B8"/>
    <w:rsid w:val="45FD1795"/>
    <w:rsid w:val="46674FDF"/>
    <w:rsid w:val="46F10BCE"/>
    <w:rsid w:val="474E6020"/>
    <w:rsid w:val="4A3B6D2F"/>
    <w:rsid w:val="4A793372"/>
    <w:rsid w:val="4CB42DC9"/>
    <w:rsid w:val="4D07739D"/>
    <w:rsid w:val="4D43272D"/>
    <w:rsid w:val="50302767"/>
    <w:rsid w:val="50F419E6"/>
    <w:rsid w:val="510A3C2F"/>
    <w:rsid w:val="515572A6"/>
    <w:rsid w:val="52A77371"/>
    <w:rsid w:val="5325057D"/>
    <w:rsid w:val="53BA3F2F"/>
    <w:rsid w:val="53FF2B7C"/>
    <w:rsid w:val="547D1CF3"/>
    <w:rsid w:val="557A3F52"/>
    <w:rsid w:val="56B75990"/>
    <w:rsid w:val="56F00EA2"/>
    <w:rsid w:val="56FC7846"/>
    <w:rsid w:val="57BE4183"/>
    <w:rsid w:val="59967ADE"/>
    <w:rsid w:val="5A9304C2"/>
    <w:rsid w:val="5B0D2022"/>
    <w:rsid w:val="5C05719D"/>
    <w:rsid w:val="5C7568F1"/>
    <w:rsid w:val="5CA63B2F"/>
    <w:rsid w:val="5E3C5349"/>
    <w:rsid w:val="5EE94B54"/>
    <w:rsid w:val="5F677827"/>
    <w:rsid w:val="5F93061C"/>
    <w:rsid w:val="5FD2383A"/>
    <w:rsid w:val="611539DF"/>
    <w:rsid w:val="6138591F"/>
    <w:rsid w:val="619D39D4"/>
    <w:rsid w:val="61A82AA5"/>
    <w:rsid w:val="62E258C4"/>
    <w:rsid w:val="62F14310"/>
    <w:rsid w:val="64665769"/>
    <w:rsid w:val="66430FEE"/>
    <w:rsid w:val="66BB5028"/>
    <w:rsid w:val="66F10A4A"/>
    <w:rsid w:val="67492634"/>
    <w:rsid w:val="67E660D5"/>
    <w:rsid w:val="68B17BB0"/>
    <w:rsid w:val="69025247"/>
    <w:rsid w:val="698067CB"/>
    <w:rsid w:val="6A2F22D8"/>
    <w:rsid w:val="6B1B3633"/>
    <w:rsid w:val="6BD050D2"/>
    <w:rsid w:val="6C68355C"/>
    <w:rsid w:val="6C9D33C3"/>
    <w:rsid w:val="6C9F2CF6"/>
    <w:rsid w:val="6E631E9D"/>
    <w:rsid w:val="6F1C56FB"/>
    <w:rsid w:val="6FB62831"/>
    <w:rsid w:val="6FCD1928"/>
    <w:rsid w:val="70FD3D96"/>
    <w:rsid w:val="71542301"/>
    <w:rsid w:val="73B2330F"/>
    <w:rsid w:val="747A1B80"/>
    <w:rsid w:val="7544443B"/>
    <w:rsid w:val="757F1917"/>
    <w:rsid w:val="76E934EC"/>
    <w:rsid w:val="783C3AEF"/>
    <w:rsid w:val="78727511"/>
    <w:rsid w:val="79073EB3"/>
    <w:rsid w:val="796C0FD0"/>
    <w:rsid w:val="7A8D5E8D"/>
    <w:rsid w:val="7AB67B89"/>
    <w:rsid w:val="7B9D1C40"/>
    <w:rsid w:val="7BEE3352"/>
    <w:rsid w:val="7C29782E"/>
    <w:rsid w:val="7C2D5C29"/>
    <w:rsid w:val="7C345209"/>
    <w:rsid w:val="7CA13F21"/>
    <w:rsid w:val="7CFD384D"/>
    <w:rsid w:val="7E2D15A6"/>
    <w:rsid w:val="7E7C0CB0"/>
    <w:rsid w:val="7EDB5E10"/>
    <w:rsid w:val="7F437CB6"/>
    <w:rsid w:val="7F480FCB"/>
    <w:rsid w:val="7F967F89"/>
    <w:rsid w:val="D75B8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DejaVu Sans" w:hAnsi="DejaVu Sans"/>
      <w:sz w:val="24"/>
    </w:rPr>
  </w:style>
  <w:style w:type="paragraph" w:styleId="3">
    <w:name w:val="Body Text 3"/>
    <w:basedOn w:val="1"/>
    <w:autoRedefine/>
    <w:qFormat/>
    <w:uiPriority w:val="0"/>
    <w:rPr>
      <w:rFonts w:ascii="宋体" w:hAnsi="Calibri"/>
      <w:sz w:val="24"/>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line="360" w:lineRule="auto"/>
      <w:ind w:firstLine="420"/>
    </w:pPr>
    <w:rPr>
      <w:szCs w:val="20"/>
    </w:rPr>
  </w:style>
  <w:style w:type="paragraph" w:styleId="6">
    <w:name w:val="Balloon Text"/>
    <w:basedOn w:val="1"/>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autoRedefine/>
    <w:qFormat/>
    <w:uiPriority w:val="0"/>
    <w:pPr>
      <w:ind w:left="720"/>
    </w:pPr>
    <w:rPr>
      <w:szCs w:val="20"/>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qFormat/>
    <w:uiPriority w:val="0"/>
    <w:rPr>
      <w:color w:val="0000FF"/>
      <w:u w:val="none"/>
    </w:rPr>
  </w:style>
  <w:style w:type="paragraph" w:customStyle="1" w:styleId="15">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5575</Words>
  <Characters>5959</Characters>
  <Lines>29</Lines>
  <Paragraphs>8</Paragraphs>
  <TotalTime>0</TotalTime>
  <ScaleCrop>false</ScaleCrop>
  <LinksUpToDate>false</LinksUpToDate>
  <CharactersWithSpaces>6220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張張</cp:lastModifiedBy>
  <dcterms:modified xsi:type="dcterms:W3CDTF">2024-06-11T01:31:42Z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5EE1C612B7D04FB28CD2472C93A4A7DD</vt:lpwstr>
  </property>
</Properties>
</file>