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蒙牛乳业常温宁夏工厂高压配电系统运维服务</w:t>
      </w:r>
    </w:p>
    <w:p>
      <w:pPr>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外包项目竞争性谈判信息公告</w:t>
      </w:r>
    </w:p>
    <w:p>
      <w:pPr>
        <w:widowControl/>
        <w:shd w:val="clear" w:color="auto" w:fill="FFFFFF"/>
        <w:snapToGrid w:val="0"/>
        <w:spacing w:line="360" w:lineRule="auto"/>
        <w:rPr>
          <w:rFonts w:cs="仿宋" w:asciiTheme="minorEastAsia" w:hAnsiTheme="minorEastAsia" w:eastAsiaTheme="minorEastAsia"/>
          <w:b/>
          <w:bCs/>
          <w:kern w:val="0"/>
          <w:sz w:val="10"/>
          <w:szCs w:val="10"/>
        </w:rPr>
      </w:pPr>
    </w:p>
    <w:p>
      <w:pPr>
        <w:spacing w:line="360" w:lineRule="auto"/>
        <w:jc w:val="left"/>
        <w:rPr>
          <w:rFonts w:ascii="仿宋" w:hAnsi="仿宋" w:eastAsia="仿宋" w:cs="仿宋"/>
          <w:sz w:val="28"/>
          <w:szCs w:val="28"/>
        </w:rPr>
      </w:pPr>
      <w:r>
        <w:rPr>
          <w:rFonts w:hint="eastAsia" w:ascii="仿宋_GB2312" w:hAnsi="仿宋" w:eastAsia="仿宋_GB2312"/>
          <w:sz w:val="28"/>
          <w:szCs w:val="28"/>
        </w:rPr>
        <w:t xml:space="preserve"> </w:t>
      </w:r>
      <w:r>
        <w:rPr>
          <w:rFonts w:ascii="仿宋_GB2312" w:hAnsi="仿宋" w:eastAsia="仿宋_GB2312"/>
          <w:sz w:val="28"/>
          <w:szCs w:val="28"/>
        </w:rPr>
        <w:t xml:space="preserve">   </w:t>
      </w:r>
      <w:r>
        <w:rPr>
          <w:rFonts w:hint="eastAsia" w:ascii="仿宋" w:hAnsi="仿宋" w:eastAsia="仿宋" w:cs="仿宋"/>
          <w:sz w:val="28"/>
          <w:szCs w:val="28"/>
        </w:rPr>
        <w:t>内蒙古华晟工程项目管理有限公司受内蒙古蒙牛乳业（集团）股份有限公司委托，就蒙牛乳业常温宁夏工厂高压配电系统运维服务外包项目进行竞争性谈判，欢迎符合资格条件的</w:t>
      </w:r>
      <w:r>
        <w:rPr>
          <w:rFonts w:hint="eastAsia" w:ascii="仿宋" w:hAnsi="仿宋" w:eastAsia="仿宋" w:cs="仿宋"/>
          <w:sz w:val="28"/>
          <w:szCs w:val="28"/>
          <w:lang w:eastAsia="zh-CN"/>
        </w:rPr>
        <w:t>竞谈人</w:t>
      </w:r>
      <w:r>
        <w:rPr>
          <w:rFonts w:hint="eastAsia" w:ascii="仿宋" w:hAnsi="仿宋" w:eastAsia="仿宋" w:cs="仿宋"/>
          <w:sz w:val="28"/>
          <w:szCs w:val="28"/>
        </w:rPr>
        <w:t>参加</w:t>
      </w:r>
      <w:r>
        <w:rPr>
          <w:rFonts w:hint="eastAsia" w:ascii="仿宋_GB2312" w:hAnsi="仿宋" w:eastAsia="仿宋_GB2312"/>
          <w:sz w:val="28"/>
          <w:szCs w:val="28"/>
        </w:rPr>
        <w:t>。</w:t>
      </w:r>
    </w:p>
    <w:p>
      <w:pPr>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rPr>
        <w:t>一、</w:t>
      </w:r>
      <w:r>
        <w:rPr>
          <w:rFonts w:hint="eastAsia" w:ascii="仿宋" w:hAnsi="仿宋" w:eastAsia="仿宋" w:cs="仿宋"/>
          <w:b/>
          <w:sz w:val="28"/>
          <w:szCs w:val="28"/>
          <w:highlight w:val="none"/>
        </w:rPr>
        <w:t>项目编号：MNCGJH-20240605-0008</w:t>
      </w:r>
    </w:p>
    <w:p>
      <w:pPr>
        <w:widowControl/>
        <w:snapToGrid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：蒙牛乳业常温宁夏工厂高压配电系统运维服务外包项目</w:t>
      </w:r>
    </w:p>
    <w:p>
      <w:pPr>
        <w:widowControl/>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三、项目概况：</w:t>
      </w:r>
    </w:p>
    <w:p>
      <w:pPr>
        <w:adjustRightInd w:val="0"/>
        <w:snapToGrid w:val="0"/>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蒙牛乳业宁夏工厂现有三座35KV变电所，其中一期35KV高压柜36台，35KV变压器7台，14回35KV馈线回路及若干35KV进出线电缆、电柜等电气设备，为提高高压配电系统的安全性、可靠性、经济性，现将高压运维工作及35kv变电所（包括低压配电系统）中遇到的进出线路线缆、电柜电气等设备设施的突发故障抢修、维修、故障排除、应急器材定期检验、变压器预防性试验等工作整体进行外委。</w:t>
      </w:r>
    </w:p>
    <w:p>
      <w:pPr>
        <w:adjustRightInd w:val="0"/>
        <w:snapToGrid w:val="0"/>
        <w:spacing w:line="360" w:lineRule="auto"/>
        <w:ind w:firstLine="562" w:firstLineChars="200"/>
        <w:rPr>
          <w:rFonts w:ascii="仿宋_GB2312" w:hAnsi="仿宋" w:eastAsia="仿宋_GB2312"/>
          <w:sz w:val="28"/>
          <w:szCs w:val="28"/>
        </w:rPr>
      </w:pPr>
      <w:r>
        <w:rPr>
          <w:rFonts w:hint="eastAsia" w:ascii="仿宋_GB2312" w:hAnsi="宋体" w:eastAsia="仿宋_GB2312"/>
          <w:b/>
          <w:bCs/>
          <w:sz w:val="28"/>
          <w:szCs w:val="28"/>
        </w:rPr>
        <w:t>四、竞谈资格：</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1.竞谈人必须是在中华人民共和国境内注册的、具有独立法人资格的企业，注册资金达到1000万元人民币及以上（外币按注册时汇率计算），以企业营业执照为准；</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2.竞谈人须具有自2023年01月01日以来任意三个月的依法纳税证明材料和社保缴纳证明材料；</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竞谈人必须具备建设行政主管部门颁发的电力施工总承包乙级及以上资质或输变电工程专业承包乙级及以上资质(以上资质为住建部最新资质要求《住房和城乡建设部关于印发建设工程企业资质管理制度改革方案的通知》)。如竞谈人还未申办以上资质，竞谈人须具有建设行政主管部门颁发的电力施工总承包三级及以上资质或输变电工程专业承包三级及以上资质，且资质证书在有效期内；</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4.竞谈人须具有有效的安全生产许可证；</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5.竞谈人须具有《承装（修、试）电力设施许可证》四级及以上资质</w:t>
      </w:r>
      <w:r>
        <w:rPr>
          <w:rFonts w:hint="eastAsia" w:ascii="仿宋" w:hAnsi="仿宋" w:eastAsia="仿宋" w:cs="仿宋"/>
          <w:color w:val="auto"/>
          <w:sz w:val="28"/>
          <w:szCs w:val="28"/>
          <w:highlight w:val="none"/>
          <w:lang w:eastAsia="zh-CN"/>
        </w:rPr>
        <w:t>（承装、承修、承试</w:t>
      </w:r>
      <w:r>
        <w:rPr>
          <w:rFonts w:hint="eastAsia" w:ascii="仿宋" w:hAnsi="仿宋" w:eastAsia="仿宋" w:cs="仿宋"/>
          <w:color w:val="auto"/>
          <w:sz w:val="28"/>
          <w:szCs w:val="28"/>
          <w:highlight w:val="none"/>
          <w:lang w:val="en-US" w:eastAsia="zh-CN"/>
        </w:rPr>
        <w:t>均在四</w:t>
      </w:r>
      <w:r>
        <w:rPr>
          <w:rFonts w:hint="eastAsia" w:ascii="仿宋" w:hAnsi="仿宋" w:eastAsia="仿宋" w:cs="仿宋"/>
          <w:color w:val="auto"/>
          <w:sz w:val="28"/>
          <w:szCs w:val="28"/>
          <w:highlight w:val="none"/>
          <w:lang w:eastAsia="zh-CN"/>
        </w:rPr>
        <w:t>级及以上）</w:t>
      </w:r>
      <w:r>
        <w:rPr>
          <w:rFonts w:hint="eastAsia" w:ascii="仿宋" w:hAnsi="仿宋" w:eastAsia="仿宋" w:cs="仿宋"/>
          <w:color w:val="000000"/>
          <w:sz w:val="28"/>
          <w:szCs w:val="28"/>
          <w:lang w:val="en-US" w:eastAsia="zh-CN"/>
        </w:rPr>
        <w:t>；</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6.竞谈人须具有近三年（2021年01月01日至今）至少两个及以上的类似运维项目业绩（以合同为准）；</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7.竞谈人须具备一般纳税人资格，能开具增值税专用发票；</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8.竞谈人须具有近三年（2021年度至2023年度）财务报表或经第三方专业审计机构审计的财务报告，且三年均为盈利状态； </w:t>
      </w:r>
    </w:p>
    <w:p>
      <w:pPr>
        <w:keepNext w:val="0"/>
        <w:keepLines w:val="0"/>
        <w:pageBreakBefore w:val="0"/>
        <w:widowControl w:val="0"/>
        <w:kinsoku/>
        <w:wordWrap w:val="0"/>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9.竞谈人未被列入“国家企业信用信息公示系统”（http://www.gsxt.gov.cn/index.html）严重违法失信企业名单；</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与采购人存在利害关系可能影响采购招标公正性的法人、其他组织或者个人，不得参加竞谈；单位负责人为同一人或者存在控股、管理关系的不同单位，不得参加同一标段竞谈或者未划分标段的同一竞谈项目竞谈；存在以上情况的，在通过资格预审的情况下，允许最先报名的潜在竞谈人参与竞谈；</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11.本项目不接受联合体竞谈，不允许分包或转包；</w:t>
      </w:r>
    </w:p>
    <w:p>
      <w:pPr>
        <w:adjustRightInd w:val="0"/>
        <w:snapToGrid w:val="0"/>
        <w:spacing w:line="360" w:lineRule="auto"/>
        <w:ind w:firstLine="560" w:firstLineChars="200"/>
        <w:rPr>
          <w:rFonts w:ascii="仿宋_GB2312" w:hAnsi="宋体" w:eastAsia="仿宋_GB2312"/>
          <w:color w:val="000000"/>
          <w:sz w:val="28"/>
          <w:szCs w:val="28"/>
        </w:rPr>
      </w:pPr>
      <w:r>
        <w:rPr>
          <w:rFonts w:hint="eastAsia" w:ascii="仿宋" w:hAnsi="仿宋" w:eastAsia="仿宋" w:cs="仿宋"/>
          <w:color w:val="000000"/>
          <w:sz w:val="28"/>
          <w:szCs w:val="28"/>
          <w:lang w:val="en-US" w:eastAsia="zh-CN"/>
        </w:rPr>
        <w:t>12.不接受进入中粮及蒙牛供应商黑名单（以蒙牛集团采购招投标管理部下发的黑名单为准）的企业参与竞谈。</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五、报名须知</w:t>
      </w:r>
    </w:p>
    <w:p>
      <w:pPr>
        <w:wordWrap w:val="0"/>
        <w:adjustRightInd w:val="0"/>
        <w:snapToGrid w:val="0"/>
        <w:spacing w:line="360" w:lineRule="auto"/>
        <w:ind w:firstLine="560" w:firstLineChars="200"/>
        <w:rPr>
          <w:rFonts w:hint="eastAsia" w:ascii="仿宋_GB2312" w:hAnsi="宋体" w:eastAsia="仿宋_GB2312"/>
          <w:color w:val="000000"/>
          <w:sz w:val="28"/>
          <w:szCs w:val="28"/>
        </w:rPr>
      </w:pPr>
      <w:r>
        <w:rPr>
          <w:rFonts w:hint="eastAsia" w:ascii="仿宋" w:hAnsi="仿宋" w:eastAsia="仿宋" w:cs="仿宋"/>
          <w:sz w:val="28"/>
          <w:szCs w:val="28"/>
        </w:rPr>
        <w:t>1</w:t>
      </w:r>
      <w:r>
        <w:rPr>
          <w:rFonts w:hint="eastAsia" w:ascii="仿宋_GB2312" w:hAnsi="宋体" w:eastAsia="仿宋_GB2312"/>
          <w:color w:val="000000"/>
          <w:sz w:val="28"/>
          <w:szCs w:val="28"/>
        </w:rPr>
        <w:t>、报名资格文件的组成及顺序按照如下要求提供：</w:t>
      </w:r>
    </w:p>
    <w:p>
      <w:pPr>
        <w:wordWrap w:val="0"/>
        <w:adjustRightInd w:val="0"/>
        <w:snapToGrid w:val="0"/>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（1）有效的营业执照（副本）、有效的开户许可证或基本存款账户信息；</w:t>
      </w:r>
    </w:p>
    <w:p>
      <w:pPr>
        <w:wordWrap w:val="0"/>
        <w:adjustRightInd w:val="0"/>
        <w:snapToGrid w:val="0"/>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（2）法定代表人证明书或授权委托书原件；</w:t>
      </w:r>
    </w:p>
    <w:p>
      <w:pPr>
        <w:wordWrap w:val="0"/>
        <w:adjustRightInd w:val="0"/>
        <w:snapToGrid w:val="0"/>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备注：</w:t>
      </w:r>
      <w:r>
        <w:rPr>
          <w:rFonts w:hint="eastAsia" w:ascii="仿宋_GB2312" w:hAnsi="宋体" w:eastAsia="仿宋_GB2312"/>
          <w:color w:val="000000"/>
          <w:sz w:val="28"/>
          <w:szCs w:val="28"/>
          <w:lang w:val="en-US" w:eastAsia="zh-CN"/>
        </w:rPr>
        <w:t>若</w:t>
      </w:r>
      <w:r>
        <w:rPr>
          <w:rFonts w:hint="eastAsia" w:ascii="仿宋_GB2312" w:hAnsi="宋体" w:eastAsia="仿宋_GB2312"/>
          <w:color w:val="000000"/>
          <w:sz w:val="28"/>
          <w:szCs w:val="28"/>
        </w:rPr>
        <w:t>法定代表人报名，请附法定代表人身份证明及身份证</w:t>
      </w:r>
      <w:r>
        <w:rPr>
          <w:rFonts w:hint="eastAsia" w:ascii="仿宋_GB2312" w:hAnsi="宋体" w:eastAsia="仿宋_GB2312"/>
          <w:color w:val="000000"/>
          <w:sz w:val="28"/>
          <w:szCs w:val="28"/>
          <w:lang w:val="en-US" w:eastAsia="zh-CN"/>
        </w:rPr>
        <w:t>扫描件</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若</w:t>
      </w:r>
      <w:r>
        <w:rPr>
          <w:rFonts w:hint="eastAsia" w:ascii="仿宋_GB2312" w:hAnsi="宋体" w:eastAsia="仿宋_GB2312"/>
          <w:color w:val="000000"/>
          <w:sz w:val="28"/>
          <w:szCs w:val="28"/>
        </w:rPr>
        <w:t>授权委托人报名，请附授权委托书</w:t>
      </w:r>
      <w:r>
        <w:rPr>
          <w:rFonts w:hint="eastAsia" w:ascii="仿宋_GB2312" w:hAnsi="宋体" w:eastAsia="仿宋_GB2312"/>
          <w:color w:val="000000"/>
          <w:sz w:val="28"/>
          <w:szCs w:val="28"/>
          <w:lang w:val="en-US" w:eastAsia="zh-CN"/>
        </w:rPr>
        <w:t>扫描件</w:t>
      </w:r>
      <w:r>
        <w:rPr>
          <w:rFonts w:hint="eastAsia" w:ascii="仿宋_GB2312" w:hAnsi="宋体" w:eastAsia="仿宋_GB2312"/>
          <w:color w:val="000000"/>
          <w:sz w:val="28"/>
          <w:szCs w:val="28"/>
        </w:rPr>
        <w:t>、法定代表人</w:t>
      </w:r>
      <w:r>
        <w:rPr>
          <w:rFonts w:hint="eastAsia" w:ascii="仿宋_GB2312" w:hAnsi="宋体" w:eastAsia="仿宋_GB2312"/>
          <w:color w:val="000000"/>
          <w:sz w:val="28"/>
          <w:szCs w:val="28"/>
          <w:lang w:val="en-US" w:eastAsia="zh-CN"/>
        </w:rPr>
        <w:t>和</w:t>
      </w:r>
      <w:r>
        <w:rPr>
          <w:rFonts w:hint="eastAsia" w:ascii="仿宋_GB2312" w:hAnsi="宋体" w:eastAsia="仿宋_GB2312"/>
          <w:color w:val="000000"/>
          <w:sz w:val="28"/>
          <w:szCs w:val="28"/>
        </w:rPr>
        <w:t>授权委托人身份证</w:t>
      </w:r>
      <w:r>
        <w:rPr>
          <w:rFonts w:hint="eastAsia" w:ascii="仿宋_GB2312" w:hAnsi="宋体" w:eastAsia="仿宋_GB2312"/>
          <w:color w:val="000000"/>
          <w:sz w:val="28"/>
          <w:szCs w:val="28"/>
          <w:lang w:val="en-US" w:eastAsia="zh-CN"/>
        </w:rPr>
        <w:t>扫描件</w:t>
      </w:r>
      <w:r>
        <w:rPr>
          <w:rFonts w:hint="eastAsia" w:ascii="仿宋_GB2312" w:hAnsi="宋体" w:eastAsia="仿宋_GB2312"/>
          <w:color w:val="000000"/>
          <w:sz w:val="28"/>
          <w:szCs w:val="28"/>
        </w:rPr>
        <w:t>及授权委托人近一年</w:t>
      </w:r>
      <w:r>
        <w:rPr>
          <w:rFonts w:hint="eastAsia" w:ascii="仿宋_GB2312" w:hAnsi="宋体" w:eastAsia="仿宋_GB2312"/>
          <w:color w:val="000000"/>
          <w:sz w:val="28"/>
          <w:szCs w:val="28"/>
          <w:lang w:val="en-US" w:eastAsia="zh-CN"/>
        </w:rPr>
        <w:t>在</w:t>
      </w:r>
      <w:r>
        <w:rPr>
          <w:rFonts w:hint="eastAsia" w:ascii="仿宋_GB2312" w:hAnsi="宋体" w:eastAsia="仿宋_GB2312"/>
          <w:color w:val="000000"/>
          <w:sz w:val="28"/>
          <w:szCs w:val="28"/>
        </w:rPr>
        <w:t>本单位缴纳社保</w:t>
      </w:r>
      <w:r>
        <w:rPr>
          <w:rFonts w:hint="eastAsia" w:ascii="仿宋_GB2312" w:hAnsi="宋体" w:eastAsia="仿宋_GB2312"/>
          <w:color w:val="000000"/>
          <w:sz w:val="28"/>
          <w:szCs w:val="28"/>
          <w:lang w:val="en-US" w:eastAsia="zh-CN"/>
        </w:rPr>
        <w:t>的</w:t>
      </w:r>
      <w:r>
        <w:rPr>
          <w:rFonts w:hint="eastAsia" w:ascii="仿宋_GB2312" w:hAnsi="宋体" w:eastAsia="仿宋_GB2312"/>
          <w:color w:val="000000"/>
          <w:sz w:val="28"/>
          <w:szCs w:val="28"/>
        </w:rPr>
        <w:t>证明材料；</w:t>
      </w:r>
    </w:p>
    <w:p>
      <w:pPr>
        <w:pStyle w:val="2"/>
        <w:spacing w:line="360" w:lineRule="auto"/>
        <w:rPr>
          <w:rFonts w:hint="eastAsia" w:ascii="仿宋_GB2312" w:hAnsi="宋体" w:eastAsia="仿宋_GB2312" w:cs="Times New Roman"/>
          <w:color w:val="000000"/>
          <w:kern w:val="2"/>
          <w:sz w:val="28"/>
          <w:szCs w:val="28"/>
          <w:lang w:val="en-US" w:eastAsia="zh-CN" w:bidi="ar-SA"/>
        </w:rPr>
      </w:pPr>
      <w:r>
        <w:rPr>
          <w:rFonts w:hint="eastAsia" w:ascii="仿宋_GB2312" w:hAnsi="宋体" w:eastAsia="仿宋_GB2312" w:cs="Times New Roman"/>
          <w:color w:val="000000"/>
          <w:kern w:val="2"/>
          <w:sz w:val="28"/>
          <w:szCs w:val="28"/>
          <w:lang w:val="en-US" w:eastAsia="zh-CN" w:bidi="ar-SA"/>
        </w:rPr>
        <w:t>（3）自2023年01月01日以来任意三个月的依法纳税证明材料和社保缴纳证明材料（证明材料可以是缴费银行单据或所在社保机构开具的证明等）；</w:t>
      </w:r>
    </w:p>
    <w:p>
      <w:pPr>
        <w:wordWrap w:val="0"/>
        <w:adjustRightInd w:val="0"/>
        <w:snapToGrid w:val="0"/>
        <w:spacing w:line="360" w:lineRule="auto"/>
        <w:ind w:firstLine="560" w:firstLineChars="200"/>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4）建设行政主管部门颁发的电力施工总承包乙级及以上资质证书或输变电工程专业承包乙级及以上资质证书(未申办以上资质的竞谈人，提供建设行政主管部门颁发的电力施工总承包三级及以上资质证书或输变电工程专业承包三级及以上资质证书），且资质证书在有效期内；</w:t>
      </w:r>
    </w:p>
    <w:p>
      <w:pPr>
        <w:pStyle w:val="2"/>
        <w:rPr>
          <w:rFonts w:hint="default"/>
          <w:lang w:val="en-US" w:eastAsia="zh-CN"/>
        </w:rPr>
      </w:pPr>
      <w:r>
        <w:rPr>
          <w:rFonts w:hint="eastAsia" w:ascii="仿宋_GB2312" w:hAnsi="宋体" w:eastAsia="仿宋_GB2312" w:cs="Times New Roman"/>
          <w:color w:val="000000"/>
          <w:kern w:val="2"/>
          <w:sz w:val="28"/>
          <w:szCs w:val="28"/>
          <w:lang w:val="en-US" w:eastAsia="zh-CN" w:bidi="ar-SA"/>
        </w:rPr>
        <w:t>（5）有效的《安全生产许可证》；</w:t>
      </w:r>
    </w:p>
    <w:p>
      <w:pPr>
        <w:wordWrap w:val="0"/>
        <w:adjustRightInd w:val="0"/>
        <w:snapToGrid w:val="0"/>
        <w:spacing w:line="360" w:lineRule="auto"/>
        <w:ind w:firstLine="560" w:firstLineChars="200"/>
        <w:rPr>
          <w:rFonts w:hint="eastAsia" w:ascii="仿宋_GB2312" w:hAnsi="宋体" w:eastAsia="仿宋_GB2312"/>
          <w:color w:val="000000"/>
          <w:sz w:val="28"/>
          <w:szCs w:val="28"/>
          <w:highlight w:val="none"/>
          <w:lang w:val="en-US" w:eastAsia="zh-CN"/>
        </w:rPr>
      </w:pPr>
      <w:r>
        <w:rPr>
          <w:rFonts w:hint="eastAsia" w:ascii="仿宋_GB2312" w:hAnsi="宋体" w:eastAsia="仿宋_GB2312"/>
          <w:color w:val="000000"/>
          <w:sz w:val="28"/>
          <w:szCs w:val="28"/>
          <w:highlight w:val="none"/>
          <w:lang w:val="en-US" w:eastAsia="zh-CN"/>
        </w:rPr>
        <w:t>（6）有效的</w:t>
      </w:r>
      <w:r>
        <w:rPr>
          <w:rFonts w:hint="eastAsia" w:ascii="仿宋_GB2312" w:hAnsi="宋体" w:eastAsia="仿宋_GB2312"/>
          <w:color w:val="000000"/>
          <w:sz w:val="28"/>
          <w:szCs w:val="28"/>
          <w:highlight w:val="none"/>
        </w:rPr>
        <w:t>《承装（修、试）电力设施许可证》四级及以上资质</w:t>
      </w:r>
      <w:r>
        <w:rPr>
          <w:rFonts w:hint="eastAsia" w:ascii="仿宋_GB2312" w:hAnsi="宋体" w:eastAsia="仿宋_GB2312"/>
          <w:color w:val="000000"/>
          <w:sz w:val="28"/>
          <w:szCs w:val="28"/>
          <w:highlight w:val="none"/>
          <w:lang w:val="en-US" w:eastAsia="zh-CN"/>
        </w:rPr>
        <w:t>证书</w:t>
      </w:r>
      <w:r>
        <w:rPr>
          <w:rFonts w:hint="eastAsia" w:ascii="仿宋" w:hAnsi="仿宋" w:eastAsia="仿宋" w:cs="仿宋"/>
          <w:color w:val="auto"/>
          <w:sz w:val="28"/>
          <w:szCs w:val="28"/>
          <w:highlight w:val="none"/>
          <w:lang w:eastAsia="zh-CN"/>
        </w:rPr>
        <w:t>（承装、承修、承试</w:t>
      </w:r>
      <w:r>
        <w:rPr>
          <w:rFonts w:hint="eastAsia" w:ascii="仿宋" w:hAnsi="仿宋" w:eastAsia="仿宋" w:cs="仿宋"/>
          <w:color w:val="auto"/>
          <w:sz w:val="28"/>
          <w:szCs w:val="28"/>
          <w:highlight w:val="none"/>
          <w:lang w:val="en-US" w:eastAsia="zh-CN"/>
        </w:rPr>
        <w:t>均在四</w:t>
      </w:r>
      <w:r>
        <w:rPr>
          <w:rFonts w:hint="eastAsia" w:ascii="仿宋" w:hAnsi="仿宋" w:eastAsia="仿宋" w:cs="仿宋"/>
          <w:color w:val="auto"/>
          <w:sz w:val="28"/>
          <w:szCs w:val="28"/>
          <w:highlight w:val="none"/>
          <w:lang w:eastAsia="zh-CN"/>
        </w:rPr>
        <w:t>级及以上）</w:t>
      </w:r>
      <w:r>
        <w:rPr>
          <w:rFonts w:hint="eastAsia" w:ascii="仿宋_GB2312" w:hAnsi="宋体" w:eastAsia="仿宋_GB2312"/>
          <w:color w:val="000000"/>
          <w:sz w:val="28"/>
          <w:szCs w:val="28"/>
          <w:highlight w:val="none"/>
          <w:lang w:val="en-US" w:eastAsia="zh-CN"/>
        </w:rPr>
        <w:t>；</w:t>
      </w:r>
    </w:p>
    <w:p>
      <w:pPr>
        <w:pStyle w:val="2"/>
        <w:rPr>
          <w:rFonts w:hint="eastAsia"/>
          <w:lang w:val="en-US" w:eastAsia="zh-CN"/>
        </w:rPr>
      </w:pPr>
      <w:r>
        <w:rPr>
          <w:rFonts w:hint="eastAsia" w:ascii="仿宋_GB2312" w:hAnsi="宋体" w:eastAsia="仿宋_GB2312"/>
          <w:color w:val="000000"/>
          <w:sz w:val="28"/>
          <w:szCs w:val="28"/>
          <w:highlight w:val="none"/>
        </w:rPr>
        <w:t>（</w:t>
      </w:r>
      <w:r>
        <w:rPr>
          <w:rFonts w:hint="eastAsia" w:ascii="仿宋_GB2312" w:hAnsi="宋体" w:eastAsia="仿宋_GB2312"/>
          <w:color w:val="000000"/>
          <w:sz w:val="28"/>
          <w:szCs w:val="28"/>
          <w:highlight w:val="none"/>
          <w:lang w:val="en-US" w:eastAsia="zh-CN"/>
        </w:rPr>
        <w:t>7</w:t>
      </w:r>
      <w:r>
        <w:rPr>
          <w:rFonts w:hint="eastAsia" w:ascii="仿宋_GB2312" w:hAnsi="宋体" w:eastAsia="仿宋_GB2312"/>
          <w:color w:val="000000"/>
          <w:sz w:val="28"/>
          <w:szCs w:val="28"/>
          <w:highlight w:val="none"/>
        </w:rPr>
        <w:t>）近</w:t>
      </w:r>
      <w:r>
        <w:rPr>
          <w:rFonts w:hint="eastAsia" w:ascii="仿宋_GB2312" w:hAnsi="宋体" w:eastAsia="仿宋_GB2312"/>
          <w:color w:val="000000"/>
          <w:sz w:val="28"/>
          <w:szCs w:val="28"/>
          <w:highlight w:val="none"/>
          <w:lang w:val="en-US" w:eastAsia="zh-CN"/>
        </w:rPr>
        <w:t>三</w:t>
      </w:r>
      <w:r>
        <w:rPr>
          <w:rFonts w:hint="eastAsia" w:ascii="仿宋_GB2312" w:hAnsi="宋体" w:eastAsia="仿宋_GB2312"/>
          <w:color w:val="000000"/>
          <w:sz w:val="28"/>
          <w:szCs w:val="28"/>
          <w:highlight w:val="none"/>
        </w:rPr>
        <w:t>年（202</w:t>
      </w:r>
      <w:r>
        <w:rPr>
          <w:rFonts w:hint="eastAsia" w:ascii="仿宋_GB2312" w:hAnsi="宋体" w:eastAsia="仿宋_GB2312"/>
          <w:color w:val="000000"/>
          <w:sz w:val="28"/>
          <w:szCs w:val="28"/>
          <w:highlight w:val="none"/>
          <w:lang w:val="en-US" w:eastAsia="zh-CN"/>
        </w:rPr>
        <w:t>1</w:t>
      </w:r>
      <w:r>
        <w:rPr>
          <w:rFonts w:hint="eastAsia" w:ascii="仿宋_GB2312" w:hAnsi="宋体" w:eastAsia="仿宋_GB2312"/>
          <w:color w:val="000000"/>
          <w:sz w:val="28"/>
          <w:szCs w:val="28"/>
          <w:highlight w:val="none"/>
        </w:rPr>
        <w:t>年01月01日至今）</w:t>
      </w:r>
      <w:r>
        <w:rPr>
          <w:rFonts w:hint="eastAsia" w:ascii="仿宋" w:hAnsi="仿宋" w:eastAsia="仿宋" w:cs="仿宋"/>
          <w:color w:val="000000"/>
          <w:sz w:val="28"/>
          <w:szCs w:val="28"/>
          <w:highlight w:val="none"/>
          <w:lang w:val="en-US" w:eastAsia="zh-CN"/>
        </w:rPr>
        <w:t>两</w:t>
      </w:r>
      <w:r>
        <w:rPr>
          <w:rFonts w:hint="eastAsia" w:ascii="仿宋_GB2312" w:hAnsi="宋体" w:eastAsia="仿宋_GB2312"/>
          <w:color w:val="000000"/>
          <w:sz w:val="28"/>
          <w:szCs w:val="28"/>
          <w:highlight w:val="none"/>
        </w:rPr>
        <w:t>个及以上</w:t>
      </w:r>
      <w:r>
        <w:rPr>
          <w:rFonts w:hint="eastAsia" w:ascii="仿宋_GB2312" w:hAnsi="宋体" w:eastAsia="仿宋_GB2312"/>
          <w:color w:val="000000"/>
          <w:sz w:val="28"/>
          <w:szCs w:val="28"/>
          <w:highlight w:val="none"/>
          <w:lang w:val="en-US" w:eastAsia="zh-CN"/>
        </w:rPr>
        <w:t>的</w:t>
      </w:r>
      <w:r>
        <w:rPr>
          <w:rFonts w:hint="eastAsia" w:ascii="仿宋_GB2312" w:hAnsi="宋体" w:eastAsia="仿宋_GB2312"/>
          <w:color w:val="000000"/>
          <w:sz w:val="28"/>
          <w:szCs w:val="28"/>
          <w:highlight w:val="none"/>
        </w:rPr>
        <w:t>类似</w:t>
      </w:r>
      <w:r>
        <w:rPr>
          <w:rFonts w:hint="eastAsia" w:ascii="仿宋_GB2312" w:hAnsi="宋体" w:eastAsia="仿宋_GB2312"/>
          <w:color w:val="000000"/>
          <w:sz w:val="28"/>
          <w:szCs w:val="28"/>
          <w:highlight w:val="none"/>
          <w:lang w:val="en-US" w:eastAsia="zh-CN"/>
        </w:rPr>
        <w:t>运维</w:t>
      </w:r>
      <w:r>
        <w:rPr>
          <w:rFonts w:hint="eastAsia" w:ascii="仿宋_GB2312" w:hAnsi="宋体" w:eastAsia="仿宋_GB2312"/>
          <w:color w:val="000000"/>
          <w:sz w:val="28"/>
          <w:szCs w:val="28"/>
          <w:highlight w:val="none"/>
        </w:rPr>
        <w:t>项目业绩</w:t>
      </w: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sz w:val="28"/>
          <w:szCs w:val="28"/>
          <w:highlight w:val="none"/>
        </w:rPr>
        <w:t>以合同为准</w:t>
      </w:r>
      <w:r>
        <w:rPr>
          <w:rFonts w:hint="eastAsia" w:ascii="仿宋_GB2312" w:hAnsi="宋体" w:eastAsia="仿宋_GB2312"/>
          <w:color w:val="000000"/>
          <w:sz w:val="28"/>
          <w:szCs w:val="28"/>
          <w:highlight w:val="none"/>
          <w:lang w:eastAsia="zh-CN"/>
        </w:rPr>
        <w:t>）；</w:t>
      </w:r>
    </w:p>
    <w:p>
      <w:pPr>
        <w:wordWrap w:val="0"/>
        <w:adjustRightInd w:val="0"/>
        <w:snapToGrid w:val="0"/>
        <w:spacing w:line="360" w:lineRule="auto"/>
        <w:ind w:firstLine="560" w:firstLineChars="200"/>
        <w:rPr>
          <w:rFonts w:hint="eastAsia" w:ascii="仿宋_GB2312" w:hAnsi="宋体" w:eastAsia="仿宋_GB2312"/>
          <w:color w:val="000000"/>
          <w:sz w:val="28"/>
          <w:szCs w:val="28"/>
          <w:highlight w:val="none"/>
          <w:lang w:eastAsia="zh-CN"/>
        </w:rPr>
      </w:pPr>
      <w:r>
        <w:rPr>
          <w:rFonts w:hint="eastAsia" w:ascii="仿宋_GB2312" w:hAnsi="宋体" w:eastAsia="仿宋_GB2312"/>
          <w:color w:val="000000"/>
          <w:sz w:val="28"/>
          <w:szCs w:val="28"/>
          <w:highlight w:val="none"/>
        </w:rPr>
        <w:t>（</w:t>
      </w:r>
      <w:r>
        <w:rPr>
          <w:rFonts w:hint="eastAsia" w:ascii="仿宋_GB2312" w:hAnsi="宋体" w:eastAsia="仿宋_GB2312"/>
          <w:color w:val="000000"/>
          <w:sz w:val="28"/>
          <w:szCs w:val="28"/>
          <w:highlight w:val="none"/>
          <w:lang w:val="en-US" w:eastAsia="zh-CN"/>
        </w:rPr>
        <w:t>8</w:t>
      </w:r>
      <w:r>
        <w:rPr>
          <w:rFonts w:hint="eastAsia" w:ascii="仿宋_GB2312" w:hAnsi="宋体" w:eastAsia="仿宋_GB2312"/>
          <w:color w:val="000000"/>
          <w:sz w:val="28"/>
          <w:szCs w:val="28"/>
          <w:highlight w:val="none"/>
        </w:rPr>
        <w:t>）</w:t>
      </w:r>
      <w:r>
        <w:rPr>
          <w:rFonts w:hint="eastAsia" w:ascii="仿宋_GB2312" w:hAnsi="宋体" w:eastAsia="仿宋_GB2312"/>
          <w:color w:val="000000"/>
          <w:sz w:val="28"/>
          <w:szCs w:val="28"/>
          <w:highlight w:val="none"/>
          <w:lang w:val="en-US" w:eastAsia="zh-CN"/>
        </w:rPr>
        <w:t>一般纳税人认定资格证明材料和能开具增值税专用发票的证明材料</w:t>
      </w:r>
      <w:r>
        <w:rPr>
          <w:rFonts w:hint="eastAsia" w:ascii="仿宋_GB2312" w:hAnsi="宋体" w:eastAsia="仿宋_GB2312"/>
          <w:color w:val="000000"/>
          <w:sz w:val="28"/>
          <w:szCs w:val="28"/>
          <w:highlight w:val="none"/>
          <w:lang w:eastAsia="zh-CN"/>
        </w:rPr>
        <w:t>；</w:t>
      </w:r>
    </w:p>
    <w:p>
      <w:pPr>
        <w:wordWrap w:val="0"/>
        <w:adjustRightInd w:val="0"/>
        <w:snapToGrid w:val="0"/>
        <w:spacing w:line="360" w:lineRule="auto"/>
        <w:ind w:firstLine="560" w:firstLineChars="200"/>
        <w:rPr>
          <w:rFonts w:hint="eastAsia" w:ascii="仿宋_GB2312" w:hAnsi="宋体" w:eastAsia="仿宋_GB2312"/>
          <w:color w:val="000000"/>
          <w:sz w:val="28"/>
          <w:szCs w:val="28"/>
          <w:highlight w:val="none"/>
          <w:lang w:val="en-US" w:eastAsia="zh-CN"/>
        </w:rPr>
      </w:pPr>
      <w:r>
        <w:rPr>
          <w:rFonts w:hint="eastAsia" w:ascii="仿宋_GB2312" w:hAnsi="宋体" w:eastAsia="仿宋_GB2312"/>
          <w:color w:val="000000"/>
          <w:sz w:val="28"/>
          <w:szCs w:val="28"/>
          <w:highlight w:val="none"/>
          <w:lang w:val="en-US" w:eastAsia="zh-CN"/>
        </w:rPr>
        <w:t>（9）近三年（</w:t>
      </w:r>
      <w:r>
        <w:rPr>
          <w:rFonts w:hint="eastAsia" w:ascii="仿宋_GB2312" w:hAnsi="宋体" w:eastAsia="仿宋_GB2312"/>
          <w:color w:val="000000"/>
          <w:sz w:val="28"/>
          <w:szCs w:val="28"/>
          <w:highlight w:val="none"/>
        </w:rPr>
        <w:t>2021年度</w:t>
      </w:r>
      <w:r>
        <w:rPr>
          <w:rFonts w:hint="eastAsia" w:ascii="仿宋_GB2312" w:hAnsi="宋体" w:eastAsia="仿宋_GB2312"/>
          <w:color w:val="000000"/>
          <w:sz w:val="28"/>
          <w:szCs w:val="28"/>
          <w:highlight w:val="none"/>
          <w:lang w:val="en-US" w:eastAsia="zh-CN"/>
        </w:rPr>
        <w:t>至</w:t>
      </w:r>
      <w:r>
        <w:rPr>
          <w:rFonts w:hint="eastAsia" w:ascii="仿宋_GB2312" w:hAnsi="宋体" w:eastAsia="仿宋_GB2312"/>
          <w:color w:val="000000"/>
          <w:sz w:val="28"/>
          <w:szCs w:val="28"/>
          <w:highlight w:val="none"/>
        </w:rPr>
        <w:t>2023年度</w:t>
      </w:r>
      <w:r>
        <w:rPr>
          <w:rFonts w:hint="eastAsia" w:ascii="仿宋_GB2312" w:hAnsi="宋体" w:eastAsia="仿宋_GB2312"/>
          <w:color w:val="000000"/>
          <w:sz w:val="28"/>
          <w:szCs w:val="28"/>
          <w:highlight w:val="none"/>
          <w:lang w:val="en-US" w:eastAsia="zh-CN"/>
        </w:rPr>
        <w:t>）财务报表或经第三方审计的审计报告</w:t>
      </w:r>
      <w:r>
        <w:rPr>
          <w:rFonts w:hint="eastAsia" w:ascii="仿宋_GB2312" w:hAnsi="宋体" w:eastAsia="仿宋_GB2312"/>
          <w:color w:val="000000"/>
          <w:sz w:val="28"/>
          <w:szCs w:val="28"/>
          <w:highlight w:val="none"/>
        </w:rPr>
        <w:t>（包含资产负债表、利润表、现金流量表）</w:t>
      </w:r>
      <w:r>
        <w:rPr>
          <w:rFonts w:hint="eastAsia" w:ascii="仿宋_GB2312" w:hAnsi="宋体" w:eastAsia="仿宋_GB2312"/>
          <w:color w:val="000000"/>
          <w:sz w:val="28"/>
          <w:szCs w:val="28"/>
          <w:highlight w:val="none"/>
          <w:lang w:val="en-US" w:eastAsia="zh-CN"/>
        </w:rPr>
        <w:t>；</w:t>
      </w:r>
    </w:p>
    <w:p>
      <w:pPr>
        <w:wordWrap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sz w:val="28"/>
          <w:szCs w:val="28"/>
          <w:highlight w:val="none"/>
          <w:lang w:val="en-US" w:eastAsia="zh-CN"/>
        </w:rPr>
        <w:t>10</w:t>
      </w: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sz w:val="28"/>
          <w:szCs w:val="28"/>
          <w:highlight w:val="none"/>
        </w:rPr>
        <w:t>未被列入国家企业信用信息公示系统（http://www.gsxt.gov.cn/index.html）严重违法失信企业名单</w:t>
      </w:r>
      <w:r>
        <w:rPr>
          <w:rFonts w:hint="eastAsia" w:ascii="仿宋" w:hAnsi="仿宋" w:eastAsia="仿宋" w:cs="仿宋"/>
          <w:sz w:val="28"/>
          <w:szCs w:val="28"/>
          <w:highlight w:val="none"/>
        </w:rPr>
        <w:t>的证明材</w:t>
      </w:r>
      <w:r>
        <w:rPr>
          <w:rFonts w:hint="eastAsia" w:ascii="仿宋" w:hAnsi="仿宋" w:eastAsia="仿宋" w:cs="仿宋"/>
          <w:sz w:val="28"/>
          <w:szCs w:val="28"/>
          <w:highlight w:val="none"/>
          <w:lang w:val="en-US" w:eastAsia="zh-CN"/>
        </w:rPr>
        <w:t>料</w:t>
      </w:r>
      <w:r>
        <w:rPr>
          <w:rFonts w:hint="eastAsia" w:ascii="仿宋_GB2312" w:hAnsi="宋体" w:eastAsia="仿宋_GB2312"/>
          <w:color w:val="000000"/>
          <w:sz w:val="28"/>
          <w:szCs w:val="28"/>
          <w:highlight w:val="none"/>
          <w:lang w:eastAsia="zh-CN"/>
        </w:rPr>
        <w:t>；</w:t>
      </w:r>
    </w:p>
    <w:p>
      <w:pPr>
        <w:wordWrap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）《保密承诺书》（附件</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w:t>
      </w:r>
    </w:p>
    <w:p>
      <w:pPr>
        <w:spacing w:line="360" w:lineRule="auto"/>
        <w:ind w:firstLine="560" w:firstLineChars="200"/>
        <w:rPr>
          <w:rFonts w:ascii="仿宋_GB2312" w:hAnsi="宋体" w:eastAsia="仿宋_GB2312"/>
          <w:sz w:val="28"/>
          <w:szCs w:val="28"/>
          <w:highlight w:val="none"/>
        </w:rPr>
      </w:pPr>
      <w:r>
        <w:rPr>
          <w:rFonts w:hint="eastAsia" w:ascii="仿宋" w:hAnsi="仿宋" w:eastAsia="仿宋" w:cs="仿宋"/>
          <w:sz w:val="28"/>
          <w:szCs w:val="28"/>
          <w:highlight w:val="none"/>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r>
        <w:rPr>
          <w:rFonts w:hint="eastAsia" w:ascii="仿宋_GB2312" w:hAnsi="宋体" w:eastAsia="仿宋_GB2312"/>
          <w:sz w:val="28"/>
          <w:szCs w:val="28"/>
          <w:highlight w:val="none"/>
        </w:rPr>
        <w:t xml:space="preserve">                         </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资料提供不全或者未按时间要求提报的将被拒绝接收，所提供的资质、业绩文件中如有虚假情况，一经发现将被取消竞谈资格。</w:t>
      </w:r>
    </w:p>
    <w:p>
      <w:pPr>
        <w:spacing w:line="360" w:lineRule="auto"/>
        <w:ind w:firstLine="560" w:firstLineChars="200"/>
        <w:rPr>
          <w:rFonts w:ascii="仿宋_GB2312" w:hAnsi="宋体" w:eastAsia="仿宋_GB2312"/>
          <w:sz w:val="28"/>
          <w:szCs w:val="28"/>
          <w:highlight w:val="none"/>
        </w:rPr>
      </w:pPr>
      <w:r>
        <w:rPr>
          <w:rFonts w:hint="eastAsia" w:ascii="仿宋" w:hAnsi="仿宋" w:eastAsia="仿宋" w:cs="仿宋"/>
          <w:sz w:val="28"/>
          <w:szCs w:val="28"/>
          <w:highlight w:val="none"/>
          <w:lang w:val="en-US" w:eastAsia="zh-CN"/>
        </w:rPr>
        <w:t>竞谈人</w:t>
      </w:r>
      <w:r>
        <w:rPr>
          <w:rFonts w:hint="eastAsia" w:ascii="仿宋" w:hAnsi="仿宋" w:eastAsia="仿宋" w:cs="仿宋"/>
          <w:sz w:val="28"/>
          <w:szCs w:val="28"/>
          <w:highlight w:val="none"/>
        </w:rPr>
        <w:t>自购买谈判文件之日起，应确保其向</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或采购代理机构提供的通讯手段（电话、邮箱）一直有效，以保证往来函件能及时传达并及时反馈信息，否则由此引起的一切后果由</w:t>
      </w:r>
      <w:r>
        <w:rPr>
          <w:rFonts w:hint="eastAsia" w:ascii="仿宋" w:hAnsi="仿宋" w:eastAsia="仿宋" w:cs="仿宋"/>
          <w:sz w:val="28"/>
          <w:szCs w:val="28"/>
          <w:highlight w:val="none"/>
          <w:lang w:eastAsia="zh-CN"/>
        </w:rPr>
        <w:t>竞谈人</w:t>
      </w:r>
      <w:r>
        <w:rPr>
          <w:rFonts w:hint="eastAsia" w:ascii="仿宋" w:hAnsi="仿宋" w:eastAsia="仿宋" w:cs="仿宋"/>
          <w:sz w:val="28"/>
          <w:szCs w:val="28"/>
          <w:highlight w:val="none"/>
        </w:rPr>
        <w:t>承担。</w:t>
      </w:r>
    </w:p>
    <w:p>
      <w:pPr>
        <w:adjustRightInd w:val="0"/>
        <w:snapToGrid w:val="0"/>
        <w:spacing w:line="360" w:lineRule="auto"/>
        <w:ind w:firstLine="565" w:firstLineChars="202"/>
        <w:rPr>
          <w:rFonts w:ascii="仿宋" w:hAnsi="仿宋" w:eastAsia="仿宋" w:cs="仿宋"/>
          <w:sz w:val="28"/>
          <w:szCs w:val="28"/>
          <w:highlight w:val="none"/>
        </w:rPr>
      </w:pPr>
      <w:r>
        <w:rPr>
          <w:rFonts w:hint="eastAsia" w:ascii="仿宋" w:hAnsi="仿宋" w:eastAsia="仿宋" w:cs="仿宋"/>
          <w:sz w:val="28"/>
          <w:szCs w:val="28"/>
          <w:highlight w:val="none"/>
        </w:rPr>
        <w:t>2、报名方式：</w:t>
      </w:r>
    </w:p>
    <w:p>
      <w:pPr>
        <w:adjustRightInd w:val="0"/>
        <w:snapToGrid w:val="0"/>
        <w:spacing w:line="360" w:lineRule="auto"/>
        <w:ind w:firstLine="565" w:firstLineChars="202"/>
        <w:rPr>
          <w:rFonts w:ascii="仿宋" w:hAnsi="仿宋" w:eastAsia="仿宋" w:cs="仿宋"/>
          <w:sz w:val="28"/>
          <w:szCs w:val="28"/>
          <w:highlight w:val="none"/>
        </w:rPr>
      </w:pPr>
      <w:r>
        <w:rPr>
          <w:rFonts w:hint="eastAsia" w:ascii="仿宋" w:hAnsi="仿宋" w:eastAsia="仿宋" w:cs="仿宋"/>
          <w:sz w:val="28"/>
          <w:szCs w:val="28"/>
          <w:highlight w:val="none"/>
        </w:rPr>
        <w:t>潜在</w:t>
      </w:r>
      <w:r>
        <w:rPr>
          <w:rFonts w:hint="eastAsia" w:ascii="仿宋" w:hAnsi="仿宋" w:eastAsia="仿宋" w:cs="仿宋"/>
          <w:sz w:val="28"/>
          <w:szCs w:val="28"/>
          <w:highlight w:val="none"/>
          <w:lang w:eastAsia="zh-CN"/>
        </w:rPr>
        <w:t>竞谈人</w:t>
      </w:r>
      <w:r>
        <w:rPr>
          <w:rFonts w:hint="eastAsia" w:ascii="仿宋" w:hAnsi="仿宋" w:eastAsia="仿宋" w:cs="仿宋"/>
          <w:sz w:val="28"/>
          <w:szCs w:val="28"/>
          <w:highlight w:val="none"/>
        </w:rPr>
        <w:t>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spacing w:line="360" w:lineRule="auto"/>
        <w:ind w:firstLine="560" w:firstLineChars="200"/>
        <w:rPr>
          <w:rFonts w:ascii="仿宋_GB2312" w:hAnsi="宋体" w:eastAsia="仿宋_GB2312"/>
          <w:b/>
          <w:sz w:val="28"/>
          <w:szCs w:val="28"/>
          <w:highlight w:val="none"/>
        </w:rPr>
      </w:pPr>
      <w:r>
        <w:rPr>
          <w:rFonts w:hint="eastAsia" w:ascii="仿宋" w:hAnsi="仿宋" w:eastAsia="仿宋" w:cs="仿宋"/>
          <w:sz w:val="28"/>
          <w:szCs w:val="28"/>
          <w:highlight w:val="none"/>
        </w:rPr>
        <w:t>注：请先阅读【MN_SRM_用户操作手册_</w:t>
      </w:r>
      <w:r>
        <w:rPr>
          <w:rFonts w:hint="eastAsia" w:ascii="仿宋" w:hAnsi="仿宋" w:eastAsia="仿宋" w:cs="仿宋"/>
          <w:sz w:val="28"/>
          <w:szCs w:val="28"/>
          <w:highlight w:val="none"/>
          <w:lang w:eastAsia="zh-CN"/>
        </w:rPr>
        <w:t>竞谈人</w:t>
      </w:r>
      <w:r>
        <w:rPr>
          <w:rFonts w:hint="eastAsia" w:ascii="仿宋" w:hAnsi="仿宋" w:eastAsia="仿宋" w:cs="仿宋"/>
          <w:sz w:val="28"/>
          <w:szCs w:val="28"/>
          <w:highlight w:val="none"/>
        </w:rPr>
        <w:t xml:space="preserve">管理 V1.1 - </w:t>
      </w:r>
      <w:r>
        <w:rPr>
          <w:rFonts w:hint="eastAsia" w:ascii="仿宋" w:hAnsi="仿宋" w:eastAsia="仿宋" w:cs="仿宋"/>
          <w:sz w:val="28"/>
          <w:szCs w:val="28"/>
          <w:highlight w:val="none"/>
          <w:lang w:eastAsia="zh-CN"/>
        </w:rPr>
        <w:t>竞谈人</w:t>
      </w:r>
      <w:r>
        <w:rPr>
          <w:rFonts w:hint="eastAsia" w:ascii="仿宋" w:hAnsi="仿宋" w:eastAsia="仿宋" w:cs="仿宋"/>
          <w:sz w:val="28"/>
          <w:szCs w:val="28"/>
          <w:highlight w:val="none"/>
        </w:rPr>
        <w:t>注册及信息修改操作指南】和【</w:t>
      </w:r>
      <w:r>
        <w:rPr>
          <w:rFonts w:hint="eastAsia" w:ascii="仿宋" w:hAnsi="仿宋" w:eastAsia="仿宋" w:cs="仿宋"/>
          <w:sz w:val="28"/>
          <w:szCs w:val="28"/>
          <w:highlight w:val="none"/>
          <w:lang w:eastAsia="zh-CN"/>
        </w:rPr>
        <w:t>竞谈人</w:t>
      </w:r>
      <w:r>
        <w:rPr>
          <w:rFonts w:hint="eastAsia" w:ascii="仿宋" w:hAnsi="仿宋" w:eastAsia="仿宋" w:cs="仿宋"/>
          <w:sz w:val="28"/>
          <w:szCs w:val="28"/>
          <w:highlight w:val="none"/>
        </w:rPr>
        <w:t>入库-登录-参与项目-报名等流程说明】服务手册，再进行注册、报名，如因办理注册和平台操作不及时或错误，影响参加招标采购活动的，责任自负。</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1、报名时间：202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17时</w:t>
      </w:r>
      <w:r>
        <w:rPr>
          <w:rFonts w:hint="eastAsia" w:ascii="仿宋" w:hAnsi="仿宋" w:eastAsia="仿宋" w:cs="仿宋"/>
          <w:sz w:val="28"/>
          <w:szCs w:val="28"/>
          <w:highlight w:val="none"/>
        </w:rPr>
        <w:t>；</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2、资格预审时间：202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17</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12时</w:t>
      </w:r>
      <w:r>
        <w:rPr>
          <w:rFonts w:hint="eastAsia" w:ascii="仿宋" w:hAnsi="仿宋" w:eastAsia="仿宋" w:cs="仿宋"/>
          <w:sz w:val="28"/>
          <w:szCs w:val="28"/>
          <w:highlight w:val="none"/>
        </w:rPr>
        <w:t>；</w:t>
      </w:r>
    </w:p>
    <w:p>
      <w:pPr>
        <w:numPr>
          <w:ilvl w:val="0"/>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谈判文件发售时间：202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17</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12时</w:t>
      </w:r>
      <w:r>
        <w:rPr>
          <w:rFonts w:hint="eastAsia" w:ascii="仿宋" w:hAnsi="仿宋" w:eastAsia="仿宋" w:cs="仿宋"/>
          <w:sz w:val="28"/>
          <w:szCs w:val="28"/>
          <w:highlight w:val="none"/>
        </w:rPr>
        <w:t>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19</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22时</w:t>
      </w:r>
      <w:r>
        <w:rPr>
          <w:rFonts w:hint="eastAsia" w:ascii="仿宋" w:hAnsi="仿宋" w:eastAsia="仿宋" w:cs="仿宋"/>
          <w:sz w:val="28"/>
          <w:szCs w:val="28"/>
          <w:highlight w:val="none"/>
        </w:rPr>
        <w:t>；谈判</w:t>
      </w:r>
      <w:r>
        <w:rPr>
          <w:rFonts w:hint="eastAsia" w:ascii="仿宋" w:hAnsi="仿宋" w:eastAsia="仿宋" w:cs="仿宋"/>
          <w:sz w:val="28"/>
          <w:szCs w:val="28"/>
        </w:rPr>
        <w:t>文件每套售价：人民币</w:t>
      </w:r>
      <w:r>
        <w:rPr>
          <w:rFonts w:ascii="仿宋" w:hAnsi="仿宋" w:eastAsia="仿宋" w:cs="仿宋"/>
          <w:sz w:val="28"/>
          <w:szCs w:val="28"/>
        </w:rPr>
        <w:t>2</w:t>
      </w:r>
      <w:r>
        <w:rPr>
          <w:rFonts w:hint="eastAsia" w:ascii="仿宋" w:hAnsi="仿宋" w:eastAsia="仿宋" w:cs="仿宋"/>
          <w:sz w:val="28"/>
          <w:szCs w:val="28"/>
        </w:rPr>
        <w:t>00元，仅支持对公转账</w:t>
      </w:r>
      <w:r>
        <w:rPr>
          <w:rFonts w:hint="eastAsia" w:ascii="仿宋" w:hAnsi="仿宋" w:eastAsia="仿宋" w:cs="仿宋"/>
          <w:sz w:val="28"/>
          <w:szCs w:val="28"/>
          <w:lang w:eastAsia="zh-CN"/>
        </w:rPr>
        <w:t>，</w:t>
      </w:r>
      <w:r>
        <w:rPr>
          <w:rFonts w:hint="eastAsia" w:ascii="仿宋" w:hAnsi="仿宋" w:eastAsia="仿宋" w:cs="仿宋"/>
          <w:sz w:val="28"/>
          <w:szCs w:val="28"/>
        </w:rPr>
        <w:t>售后不退（汇款后将回执扫描后上传至</w:t>
      </w:r>
      <w:r>
        <w:rPr>
          <w:rFonts w:hint="eastAsia" w:ascii="仿宋" w:hAnsi="仿宋" w:eastAsia="仿宋" w:cs="仿宋"/>
          <w:bCs/>
          <w:sz w:val="28"/>
          <w:szCs w:val="28"/>
        </w:rPr>
        <w:t>蒙牛集团电子采购招标平台</w:t>
      </w:r>
      <w:r>
        <w:rPr>
          <w:rFonts w:hint="eastAsia" w:ascii="仿宋" w:hAnsi="仿宋" w:eastAsia="仿宋" w:cs="仿宋"/>
          <w:sz w:val="28"/>
          <w:szCs w:val="28"/>
        </w:rPr>
        <w:t>）</w:t>
      </w:r>
      <w:bookmarkStart w:id="0" w:name="_GoBack"/>
      <w:bookmarkEnd w:id="0"/>
    </w:p>
    <w:p>
      <w:pPr>
        <w:spacing w:line="360" w:lineRule="auto"/>
        <w:ind w:left="2836" w:leftChars="284" w:hanging="2240" w:hangingChars="800"/>
        <w:rPr>
          <w:rFonts w:ascii="仿宋" w:hAnsi="仿宋" w:eastAsia="仿宋" w:cs="仿宋"/>
          <w:sz w:val="28"/>
          <w:szCs w:val="28"/>
        </w:rPr>
      </w:pPr>
      <w:r>
        <w:rPr>
          <w:rFonts w:hint="eastAsia" w:ascii="仿宋" w:hAnsi="仿宋" w:eastAsia="仿宋" w:cs="仿宋"/>
          <w:sz w:val="28"/>
          <w:szCs w:val="28"/>
        </w:rPr>
        <w:t>具体汇款信息如下：</w:t>
      </w:r>
    </w:p>
    <w:p>
      <w:pPr>
        <w:spacing w:line="360" w:lineRule="auto"/>
        <w:ind w:left="2836" w:leftChars="284" w:hanging="2240" w:hangingChars="800"/>
        <w:rPr>
          <w:rFonts w:hint="eastAsia" w:ascii="仿宋" w:hAnsi="仿宋" w:eastAsia="仿宋" w:cs="仿宋"/>
          <w:sz w:val="28"/>
          <w:szCs w:val="28"/>
        </w:rPr>
      </w:pPr>
      <w:r>
        <w:rPr>
          <w:rFonts w:hint="eastAsia" w:ascii="仿宋" w:hAnsi="仿宋" w:eastAsia="仿宋" w:cs="仿宋"/>
          <w:sz w:val="28"/>
          <w:szCs w:val="28"/>
        </w:rPr>
        <w:t>开户银行：兴业银行呼和浩特巨海城支行</w:t>
      </w:r>
    </w:p>
    <w:p>
      <w:pPr>
        <w:spacing w:line="360" w:lineRule="auto"/>
        <w:ind w:left="2836" w:leftChars="284" w:hanging="2240" w:hangingChars="800"/>
        <w:rPr>
          <w:rFonts w:hint="eastAsia" w:ascii="仿宋" w:hAnsi="仿宋" w:eastAsia="仿宋" w:cs="仿宋"/>
          <w:sz w:val="28"/>
          <w:szCs w:val="28"/>
          <w:lang w:val="en-US" w:eastAsia="zh-CN"/>
        </w:rPr>
      </w:pPr>
      <w:r>
        <w:rPr>
          <w:rFonts w:hint="eastAsia" w:ascii="仿宋" w:hAnsi="仿宋" w:eastAsia="仿宋" w:cs="仿宋"/>
          <w:sz w:val="28"/>
          <w:szCs w:val="28"/>
        </w:rPr>
        <w:t>收款单位：内蒙古华晟工程项目管理有限公司和林格尔盛乐园区分</w:t>
      </w:r>
      <w:r>
        <w:rPr>
          <w:rFonts w:hint="eastAsia" w:ascii="仿宋" w:hAnsi="仿宋" w:eastAsia="仿宋" w:cs="仿宋"/>
          <w:sz w:val="28"/>
          <w:szCs w:val="28"/>
          <w:lang w:val="en-US" w:eastAsia="zh-CN"/>
        </w:rPr>
        <w:t>公</w:t>
      </w:r>
    </w:p>
    <w:p>
      <w:pPr>
        <w:spacing w:line="360" w:lineRule="auto"/>
        <w:rPr>
          <w:rFonts w:hint="eastAsia" w:ascii="仿宋" w:hAnsi="仿宋" w:eastAsia="仿宋" w:cs="仿宋"/>
          <w:sz w:val="28"/>
          <w:szCs w:val="28"/>
        </w:rPr>
      </w:pPr>
      <w:r>
        <w:rPr>
          <w:rFonts w:hint="eastAsia" w:ascii="仿宋" w:hAnsi="仿宋" w:eastAsia="仿宋" w:cs="仿宋"/>
          <w:sz w:val="28"/>
          <w:szCs w:val="28"/>
        </w:rPr>
        <w:t>司</w:t>
      </w:r>
    </w:p>
    <w:p>
      <w:pPr>
        <w:spacing w:line="360" w:lineRule="auto"/>
        <w:ind w:left="2836" w:leftChars="284" w:hanging="2240" w:hangingChars="800"/>
        <w:rPr>
          <w:rFonts w:hint="eastAsia" w:ascii="仿宋" w:hAnsi="仿宋" w:eastAsia="仿宋" w:cs="仿宋"/>
          <w:sz w:val="28"/>
          <w:szCs w:val="28"/>
        </w:rPr>
      </w:pPr>
      <w:r>
        <w:rPr>
          <w:rFonts w:hint="eastAsia" w:ascii="仿宋" w:hAnsi="仿宋" w:eastAsia="仿宋" w:cs="仿宋"/>
          <w:sz w:val="28"/>
          <w:szCs w:val="28"/>
        </w:rPr>
        <w:t>开户银行账号：592120100100098732</w:t>
      </w:r>
    </w:p>
    <w:p>
      <w:pPr>
        <w:spacing w:line="360" w:lineRule="auto"/>
        <w:ind w:left="2836" w:leftChars="284" w:hanging="2240" w:hangingChars="800"/>
        <w:rPr>
          <w:rFonts w:ascii="仿宋" w:hAnsi="仿宋" w:eastAsia="仿宋" w:cs="仿宋"/>
          <w:sz w:val="28"/>
          <w:szCs w:val="28"/>
        </w:rPr>
      </w:pPr>
      <w:r>
        <w:rPr>
          <w:rFonts w:hint="eastAsia" w:ascii="仿宋" w:hAnsi="仿宋" w:eastAsia="仿宋" w:cs="仿宋"/>
          <w:sz w:val="28"/>
          <w:szCs w:val="28"/>
        </w:rPr>
        <w:t>开户银行行号：309191002120</w:t>
      </w:r>
    </w:p>
    <w:p>
      <w:pPr>
        <w:numPr>
          <w:ilvl w:val="0"/>
          <w:numId w:val="0"/>
        </w:numPr>
        <w:spacing w:line="360" w:lineRule="auto"/>
        <w:ind w:left="2836" w:leftChars="284" w:right="-168" w:rightChars="-80" w:hanging="2240" w:hangingChars="800"/>
        <w:rPr>
          <w:rFonts w:ascii="仿宋" w:hAnsi="仿宋" w:eastAsia="仿宋" w:cs="仿宋"/>
          <w:sz w:val="28"/>
          <w:szCs w:val="28"/>
        </w:rPr>
      </w:pPr>
      <w:r>
        <w:rPr>
          <w:rFonts w:hint="eastAsia" w:ascii="仿宋" w:hAnsi="仿宋" w:eastAsia="仿宋" w:cs="仿宋"/>
          <w:kern w:val="2"/>
          <w:sz w:val="28"/>
          <w:szCs w:val="28"/>
          <w:lang w:val="en-US" w:eastAsia="zh-CN" w:bidi="ar-SA"/>
        </w:rPr>
        <w:t>4</w:t>
      </w:r>
      <w:r>
        <w:rPr>
          <w:rFonts w:ascii="仿宋" w:hAnsi="仿宋" w:eastAsia="仿宋" w:cs="仿宋"/>
          <w:kern w:val="2"/>
          <w:sz w:val="28"/>
          <w:szCs w:val="28"/>
          <w:lang w:val="en-US" w:eastAsia="zh-CN" w:bidi="ar-SA"/>
        </w:rPr>
        <w:t>、</w:t>
      </w:r>
      <w:r>
        <w:rPr>
          <w:rFonts w:hint="eastAsia" w:ascii="仿宋" w:hAnsi="仿宋" w:eastAsia="仿宋" w:cs="仿宋"/>
          <w:sz w:val="28"/>
          <w:szCs w:val="28"/>
        </w:rPr>
        <w:t>谈判时间：202</w:t>
      </w:r>
      <w:r>
        <w:rPr>
          <w:rFonts w:hint="eastAsia" w:ascii="仿宋" w:hAnsi="仿宋" w:eastAsia="仿宋" w:cs="仿宋"/>
          <w:sz w:val="28"/>
          <w:szCs w:val="28"/>
          <w:lang w:val="en-US" w:eastAsia="zh-CN"/>
        </w:rPr>
        <w:t>4</w:t>
      </w:r>
      <w:r>
        <w:rPr>
          <w:rFonts w:ascii="仿宋" w:hAnsi="仿宋" w:eastAsia="仿宋" w:cs="仿宋"/>
          <w:sz w:val="28"/>
          <w:szCs w:val="28"/>
        </w:rPr>
        <w:t>年</w:t>
      </w:r>
      <w:r>
        <w:rPr>
          <w:rFonts w:hint="eastAsia" w:ascii="仿宋" w:hAnsi="仿宋" w:eastAsia="仿宋" w:cs="仿宋"/>
          <w:sz w:val="28"/>
          <w:szCs w:val="28"/>
          <w:highlight w:val="none"/>
          <w:lang w:val="en-US" w:eastAsia="zh-CN"/>
        </w:rPr>
        <w:t>06</w:t>
      </w:r>
      <w:r>
        <w:rPr>
          <w:rFonts w:ascii="仿宋" w:hAnsi="仿宋" w:eastAsia="仿宋" w:cs="仿宋"/>
          <w:sz w:val="28"/>
          <w:szCs w:val="28"/>
          <w:highlight w:val="none"/>
        </w:rPr>
        <w:t>月</w:t>
      </w:r>
      <w:r>
        <w:rPr>
          <w:rFonts w:hint="eastAsia" w:ascii="仿宋" w:hAnsi="仿宋" w:eastAsia="仿宋" w:cs="仿宋"/>
          <w:sz w:val="28"/>
          <w:szCs w:val="28"/>
          <w:highlight w:val="none"/>
          <w:lang w:val="en-US" w:eastAsia="zh-CN"/>
        </w:rPr>
        <w:t>24</w:t>
      </w:r>
      <w:r>
        <w:rPr>
          <w:rFonts w:ascii="仿宋" w:hAnsi="仿宋" w:eastAsia="仿宋" w:cs="仿宋"/>
          <w:sz w:val="28"/>
          <w:szCs w:val="28"/>
          <w:highlight w:val="none"/>
        </w:rPr>
        <w:t>日</w:t>
      </w:r>
      <w:r>
        <w:rPr>
          <w:rFonts w:hint="eastAsia" w:ascii="仿宋" w:hAnsi="仿宋" w:eastAsia="仿宋" w:cs="仿宋"/>
          <w:sz w:val="28"/>
          <w:szCs w:val="28"/>
          <w:highlight w:val="none"/>
          <w:lang w:val="en-US" w:eastAsia="zh-CN"/>
        </w:rPr>
        <w:t>0</w:t>
      </w:r>
      <w:r>
        <w:rPr>
          <w:rFonts w:ascii="仿宋" w:hAnsi="仿宋" w:eastAsia="仿宋" w:cs="仿宋"/>
          <w:sz w:val="28"/>
          <w:szCs w:val="28"/>
          <w:highlight w:val="none"/>
        </w:rPr>
        <w:t>9时</w:t>
      </w:r>
      <w:r>
        <w:rPr>
          <w:rFonts w:hint="eastAsia" w:ascii="仿宋" w:hAnsi="仿宋" w:eastAsia="仿宋" w:cs="仿宋"/>
          <w:sz w:val="28"/>
          <w:szCs w:val="28"/>
          <w:highlight w:val="none"/>
        </w:rPr>
        <w:t>30分</w:t>
      </w:r>
      <w:r>
        <w:rPr>
          <w:rFonts w:hint="eastAsia" w:ascii="仿宋" w:hAnsi="仿宋" w:eastAsia="仿宋" w:cs="仿宋"/>
          <w:sz w:val="28"/>
          <w:szCs w:val="28"/>
        </w:rPr>
        <w:t>（以发出的谈判文件为准）。</w:t>
      </w:r>
    </w:p>
    <w:p>
      <w:pPr>
        <w:wordWrap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七、谈判地点：</w:t>
      </w:r>
      <w:r>
        <w:rPr>
          <w:rFonts w:hint="eastAsia" w:ascii="仿宋" w:hAnsi="仿宋" w:eastAsia="仿宋" w:cs="仿宋"/>
          <w:bCs/>
          <w:sz w:val="28"/>
          <w:szCs w:val="28"/>
        </w:rPr>
        <w:t>蒙牛集团电子采购招标平台（https://zbcg.mengniu.cn/）（以发出的谈判文件为准）。</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八、发布媒体：</w:t>
      </w:r>
    </w:p>
    <w:p>
      <w:pPr>
        <w:pStyle w:val="18"/>
        <w:shd w:val="clear" w:color="auto" w:fill="FFFFFF"/>
        <w:spacing w:before="0" w:beforeAutospacing="0" w:after="0" w:afterAutospacing="0" w:line="360" w:lineRule="auto"/>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蒙牛官网（http://www.mengniu.com.cn）及内部OA平台</w:t>
      </w:r>
    </w:p>
    <w:p>
      <w:pPr>
        <w:pStyle w:val="1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bCs/>
          <w:kern w:val="2"/>
          <w:sz w:val="28"/>
          <w:szCs w:val="28"/>
        </w:rPr>
        <w:t>蒙牛集团电子招标采购交易平台（https://zbcg.mengniu.cn）</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九、采购招标实施方及联系方式：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采购招标实施方：内蒙古蒙牛乳业（集团）股份有限公司</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王佳</w:t>
      </w:r>
      <w:r>
        <w:rPr>
          <w:rFonts w:hint="eastAsia" w:ascii="仿宋" w:hAnsi="仿宋" w:eastAsia="仿宋" w:cs="仿宋"/>
          <w:sz w:val="28"/>
          <w:szCs w:val="28"/>
        </w:rPr>
        <w:t xml:space="preserve">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联系方式：13847185642</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技术</w:t>
      </w:r>
      <w:r>
        <w:rPr>
          <w:rFonts w:hint="eastAsia" w:ascii="仿宋" w:hAnsi="仿宋" w:eastAsia="仿宋" w:cs="仿宋"/>
          <w:sz w:val="28"/>
          <w:szCs w:val="28"/>
          <w:highlight w:val="none"/>
        </w:rPr>
        <w:t xml:space="preserve">咨询联系人：杨辉令              </w:t>
      </w:r>
    </w:p>
    <w:p>
      <w:pPr>
        <w:pStyle w:val="2"/>
        <w:spacing w:line="360" w:lineRule="auto"/>
        <w:rPr>
          <w:highlight w:val="none"/>
        </w:rPr>
      </w:pPr>
      <w:r>
        <w:rPr>
          <w:rFonts w:hint="eastAsia" w:ascii="仿宋" w:hAnsi="仿宋" w:eastAsia="仿宋" w:cs="仿宋"/>
          <w:sz w:val="28"/>
          <w:szCs w:val="28"/>
          <w:highlight w:val="none"/>
        </w:rPr>
        <w:t>联系方式：18995061583</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十、采购代理机构及联系方式：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采购代理机构：内蒙古华晟工程项目管理有限公司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报名联系人：范玲（18748180146）/赵博（18147132014）</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联系电话：0471-3957849/4918085-8041</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电子邮箱：fanling@nmghuasheng.com</w:t>
      </w:r>
    </w:p>
    <w:p>
      <w:pPr>
        <w:pStyle w:val="2"/>
        <w:spacing w:line="360" w:lineRule="auto"/>
        <w:ind w:firstLine="560"/>
        <w:rPr>
          <w:sz w:val="28"/>
          <w:szCs w:val="28"/>
        </w:rPr>
      </w:pPr>
      <w:r>
        <w:rPr>
          <w:rFonts w:hint="eastAsia" w:ascii="仿宋" w:hAnsi="仿宋" w:eastAsia="仿宋" w:cs="仿宋"/>
          <w:sz w:val="28"/>
          <w:szCs w:val="28"/>
        </w:rPr>
        <w:t>联系地址：</w:t>
      </w:r>
      <w:r>
        <w:rPr>
          <w:rFonts w:hint="eastAsia" w:ascii="仿宋" w:hAnsi="仿宋" w:eastAsia="仿宋" w:cs="仿宋"/>
          <w:bCs/>
          <w:sz w:val="28"/>
          <w:szCs w:val="28"/>
        </w:rPr>
        <w:t>内蒙古自治区呼和浩特市赛罕区锡林南路盈嘉国际综合楼27层</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十一、监督单位及联系方式：</w:t>
      </w:r>
    </w:p>
    <w:p>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监督单位：内蒙古蒙牛乳业（集团）股份有限公司招投标管理部</w:t>
      </w:r>
    </w:p>
    <w:p>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 xml:space="preserve">监 督 人:郑建东                        </w:t>
      </w:r>
    </w:p>
    <w:p>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联系方式：0471-7393642/15034927966</w:t>
      </w:r>
    </w:p>
    <w:p>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电子邮件：zhengjiandong@mengniu.cn</w:t>
      </w:r>
    </w:p>
    <w:p>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异议/投诉服务网址：https://zbcg.mengniu.cn/#/home</w:t>
      </w:r>
    </w:p>
    <w:p>
      <w:pPr>
        <w:spacing w:line="360" w:lineRule="auto"/>
        <w:ind w:right="640" w:firstLine="565" w:firstLineChars="202"/>
        <w:jc w:val="left"/>
        <w:rPr>
          <w:rFonts w:hint="eastAsia" w:ascii="仿宋" w:hAnsi="仿宋" w:eastAsia="仿宋" w:cs="仿宋"/>
          <w:sz w:val="28"/>
          <w:szCs w:val="28"/>
        </w:rPr>
      </w:pPr>
    </w:p>
    <w:p>
      <w:pPr>
        <w:spacing w:line="360" w:lineRule="auto"/>
        <w:ind w:right="640" w:firstLine="565" w:firstLineChars="202"/>
        <w:jc w:val="left"/>
        <w:rPr>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.保密承诺书</w:t>
      </w:r>
    </w:p>
    <w:p>
      <w:pPr>
        <w:spacing w:line="360" w:lineRule="auto"/>
        <w:ind w:firstLine="1400" w:firstLineChars="500"/>
        <w:rPr>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.法定代表人证明书或授权委托书格式</w:t>
      </w:r>
    </w:p>
    <w:p>
      <w:pPr>
        <w:spacing w:line="360" w:lineRule="auto"/>
        <w:ind w:right="640" w:firstLine="565" w:firstLineChars="202"/>
        <w:jc w:val="right"/>
        <w:rPr>
          <w:rFonts w:hint="eastAsia" w:ascii="仿宋" w:hAnsi="仿宋" w:eastAsia="仿宋" w:cs="仿宋"/>
          <w:sz w:val="28"/>
          <w:szCs w:val="28"/>
        </w:rPr>
      </w:pPr>
    </w:p>
    <w:p>
      <w:pPr>
        <w:spacing w:line="360" w:lineRule="auto"/>
        <w:ind w:right="640" w:firstLine="565" w:firstLineChars="202"/>
        <w:jc w:val="right"/>
        <w:rPr>
          <w:rFonts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采购方：内蒙古蒙牛乳业（集团）股份有限公司</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06</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w:t>
      </w:r>
    </w:p>
    <w:p>
      <w:pPr>
        <w:widowControl/>
        <w:spacing w:line="360" w:lineRule="auto"/>
        <w:jc w:val="left"/>
        <w:rPr>
          <w:rFonts w:ascii="仿宋" w:hAnsi="仿宋" w:eastAsia="仿宋" w:cs="仿宋"/>
          <w:sz w:val="30"/>
          <w:szCs w:val="30"/>
        </w:rPr>
      </w:pPr>
      <w:r>
        <w:rPr>
          <w:rFonts w:hint="eastAsia" w:ascii="仿宋" w:hAnsi="仿宋" w:eastAsia="仿宋" w:cs="仿宋"/>
          <w:sz w:val="30"/>
          <w:szCs w:val="30"/>
        </w:rPr>
        <w:br w:type="page"/>
      </w:r>
    </w:p>
    <w:p>
      <w:pPr>
        <w:widowControl/>
        <w:spacing w:line="360" w:lineRule="auto"/>
        <w:jc w:val="left"/>
        <w:rPr>
          <w:rFonts w:ascii="仿宋_GB2312" w:eastAsia="仿宋_GB2312"/>
          <w:b/>
          <w:sz w:val="22"/>
          <w:szCs w:val="22"/>
        </w:rPr>
      </w:pPr>
      <w:r>
        <w:rPr>
          <w:rFonts w:hint="eastAsia" w:ascii="仿宋" w:hAnsi="仿宋" w:eastAsia="仿宋" w:cs="仿宋"/>
          <w:sz w:val="30"/>
          <w:szCs w:val="30"/>
        </w:rPr>
        <w:t>附件</w:t>
      </w:r>
      <w:r>
        <w:rPr>
          <w:rFonts w:hint="eastAsia" w:ascii="仿宋" w:hAnsi="仿宋" w:eastAsia="仿宋" w:cs="仿宋"/>
          <w:sz w:val="30"/>
          <w:szCs w:val="30"/>
          <w:lang w:val="en-US" w:eastAsia="zh-CN"/>
        </w:rPr>
        <w:t>1</w:t>
      </w:r>
      <w:r>
        <w:rPr>
          <w:rFonts w:hint="eastAsia" w:ascii="仿宋" w:hAnsi="仿宋" w:eastAsia="仿宋" w:cs="仿宋"/>
          <w:sz w:val="30"/>
          <w:szCs w:val="30"/>
        </w:rPr>
        <w:t>：</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tabs>
          <w:tab w:val="left" w:pos="5040"/>
        </w:tabs>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bCs w:val="0"/>
          <w:color w:val="000000"/>
          <w:kern w:val="0"/>
          <w:sz w:val="28"/>
          <w:szCs w:val="28"/>
        </w:rPr>
      </w:pPr>
      <w:r>
        <w:rPr>
          <w:rFonts w:hint="eastAsia" w:ascii="仿宋" w:hAnsi="仿宋" w:eastAsia="仿宋" w:cs="仿宋"/>
          <w:b/>
          <w:bCs w:val="0"/>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1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1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13"/>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13"/>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2"/>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2"/>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2"/>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2"/>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代表人（签字）：</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日期：</w:t>
      </w:r>
    </w:p>
    <w:p>
      <w:pPr>
        <w:spacing w:line="360" w:lineRule="auto"/>
        <w:rPr>
          <w:rFonts w:ascii="仿宋" w:hAnsi="仿宋" w:eastAsia="仿宋" w:cs="仿宋"/>
          <w:kern w:val="0"/>
          <w:sz w:val="30"/>
          <w:szCs w:val="30"/>
        </w:rPr>
      </w:pPr>
      <w:r>
        <w:rPr>
          <w:rFonts w:hint="eastAsia" w:ascii="仿宋" w:hAnsi="仿宋" w:eastAsia="仿宋" w:cs="仿宋"/>
          <w:kern w:val="0"/>
          <w:sz w:val="30"/>
          <w:szCs w:val="30"/>
        </w:rPr>
        <w:br w:type="page"/>
      </w:r>
    </w:p>
    <w:p>
      <w:pPr>
        <w:spacing w:line="360" w:lineRule="auto"/>
        <w:jc w:val="left"/>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733" w:firstLineChars="262"/>
        <w:rPr>
          <w:rFonts w:ascii="仿宋" w:hAnsi="仿宋" w:eastAsia="仿宋" w:cs="仿宋"/>
          <w:sz w:val="28"/>
          <w:szCs w:val="28"/>
          <w:u w:val="single"/>
        </w:rPr>
      </w:pPr>
      <w:r>
        <w:rPr>
          <w:rFonts w:hint="eastAsia" w:ascii="仿宋" w:hAnsi="仿宋" w:eastAsia="仿宋" w:cs="仿宋"/>
          <w:sz w:val="28"/>
          <w:szCs w:val="28"/>
          <w:lang w:eastAsia="zh-CN"/>
        </w:rPr>
        <w:t>竞谈人</w:t>
      </w:r>
      <w:r>
        <w:rPr>
          <w:rFonts w:hint="eastAsia" w:ascii="仿宋" w:hAnsi="仿宋" w:eastAsia="仿宋" w:cs="仿宋"/>
          <w:sz w:val="28"/>
          <w:szCs w:val="28"/>
        </w:rPr>
        <w:t>名称：</w:t>
      </w:r>
      <w:r>
        <w:rPr>
          <w:rFonts w:hint="eastAsia" w:ascii="仿宋" w:hAnsi="仿宋" w:eastAsia="仿宋" w:cs="仿宋"/>
          <w:sz w:val="28"/>
          <w:szCs w:val="28"/>
          <w:u w:val="single"/>
        </w:rPr>
        <w:t xml:space="preserve">               </w:t>
      </w:r>
    </w:p>
    <w:p>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pPr>
        <w:spacing w:line="360" w:lineRule="auto"/>
        <w:ind w:firstLine="733" w:firstLineChars="262"/>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 xml:space="preserve">经营期限：  </w:t>
      </w:r>
      <w:r>
        <w:rPr>
          <w:rFonts w:hint="eastAsia" w:ascii="仿宋" w:hAnsi="仿宋" w:eastAsia="仿宋" w:cs="仿宋"/>
          <w:sz w:val="28"/>
          <w:szCs w:val="28"/>
          <w:u w:val="single"/>
        </w:rPr>
        <w:t xml:space="preserve">年  月  日至  年  月  日    </w:t>
      </w:r>
    </w:p>
    <w:p>
      <w:pPr>
        <w:spacing w:line="360" w:lineRule="auto"/>
        <w:ind w:left="420" w:leftChars="200" w:firstLine="173" w:firstLineChars="62"/>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特此证明。</w:t>
      </w:r>
    </w:p>
    <w:p>
      <w:pPr>
        <w:spacing w:line="360" w:lineRule="auto"/>
        <w:rPr>
          <w:rFonts w:ascii="仿宋" w:hAnsi="仿宋" w:eastAsia="仿宋" w:cs="仿宋"/>
          <w:sz w:val="28"/>
          <w:szCs w:val="28"/>
        </w:rPr>
      </w:pP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法定代表人身份证复印件（正反面）</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ind w:right="1756" w:rightChars="836"/>
        <w:rPr>
          <w:rFonts w:ascii="仿宋" w:hAnsi="仿宋" w:eastAsia="仿宋" w:cs="仿宋"/>
          <w:sz w:val="28"/>
          <w:szCs w:val="28"/>
        </w:rPr>
      </w:pPr>
    </w:p>
    <w:p>
      <w:pPr>
        <w:spacing w:line="360" w:lineRule="auto"/>
        <w:ind w:right="1756" w:rightChars="836" w:firstLine="280" w:firstLineChars="100"/>
        <w:jc w:val="right"/>
        <w:rPr>
          <w:rFonts w:ascii="仿宋" w:hAnsi="仿宋" w:eastAsia="仿宋" w:cs="仿宋"/>
          <w:sz w:val="28"/>
          <w:szCs w:val="28"/>
        </w:rPr>
      </w:pPr>
    </w:p>
    <w:p>
      <w:pPr>
        <w:spacing w:line="360" w:lineRule="auto"/>
        <w:ind w:right="1756" w:rightChars="836" w:firstLine="280" w:firstLineChars="100"/>
        <w:jc w:val="right"/>
        <w:rPr>
          <w:rFonts w:ascii="仿宋" w:hAnsi="仿宋" w:eastAsia="仿宋" w:cs="仿宋"/>
          <w:sz w:val="28"/>
          <w:szCs w:val="28"/>
        </w:rPr>
      </w:pPr>
      <w:r>
        <w:rPr>
          <w:rFonts w:hint="eastAsia" w:ascii="仿宋" w:hAnsi="仿宋" w:eastAsia="仿宋" w:cs="仿宋"/>
          <w:sz w:val="28"/>
          <w:szCs w:val="28"/>
          <w:lang w:eastAsia="zh-CN"/>
        </w:rPr>
        <w:t>竞谈人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756" w:rightChars="836"/>
        <w:jc w:val="right"/>
        <w:rPr>
          <w:rFonts w:ascii="仿宋" w:hAnsi="仿宋" w:eastAsia="仿宋" w:cs="仿宋"/>
          <w:sz w:val="28"/>
          <w:szCs w:val="28"/>
        </w:rPr>
      </w:pPr>
    </w:p>
    <w:p>
      <w:pPr>
        <w:spacing w:line="360" w:lineRule="auto"/>
        <w:ind w:right="1756" w:rightChars="836"/>
        <w:jc w:val="right"/>
        <w:rPr>
          <w:rFonts w:ascii="仿宋" w:hAnsi="仿宋" w:eastAsia="仿宋" w:cs="仿宋"/>
          <w:b/>
          <w:kern w:val="0"/>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center"/>
        <w:rPr>
          <w:rFonts w:ascii="仿宋" w:hAnsi="仿宋" w:eastAsia="仿宋" w:cs="仿宋"/>
          <w:kern w:val="0"/>
          <w:sz w:val="28"/>
          <w:szCs w:val="28"/>
        </w:rPr>
      </w:pPr>
    </w:p>
    <w:p>
      <w:pPr>
        <w:spacing w:line="360" w:lineRule="auto"/>
        <w:rPr>
          <w:rFonts w:ascii="仿宋" w:hAnsi="仿宋" w:eastAsia="仿宋" w:cs="仿宋"/>
          <w:sz w:val="28"/>
          <w:szCs w:val="28"/>
        </w:rPr>
      </w:pPr>
      <w:r>
        <w:rPr>
          <w:rFonts w:hint="eastAsia" w:ascii="仿宋" w:hAnsi="仿宋" w:eastAsia="仿宋" w:cs="仿宋"/>
          <w:b/>
          <w:kern w:val="0"/>
          <w:sz w:val="28"/>
          <w:szCs w:val="28"/>
        </w:rPr>
        <w:br w:type="page"/>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pPr>
        <w:spacing w:line="360" w:lineRule="auto"/>
        <w:jc w:val="center"/>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内蒙古蒙牛乳业（集团）股份有限公司</w:t>
      </w:r>
      <w:r>
        <w:rPr>
          <w:rFonts w:hint="eastAsia" w:ascii="仿宋" w:hAnsi="仿宋" w:eastAsia="仿宋" w:cs="仿宋"/>
          <w:sz w:val="28"/>
          <w:szCs w:val="28"/>
        </w:rPr>
        <w:t>：</w:t>
      </w:r>
    </w:p>
    <w:p>
      <w:pPr>
        <w:spacing w:line="360" w:lineRule="auto"/>
        <w:ind w:firstLine="840" w:firstLineChars="300"/>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竞谈人</w:t>
      </w:r>
      <w:r>
        <w:rPr>
          <w:rFonts w:hint="eastAsia" w:ascii="仿宋" w:hAnsi="仿宋" w:eastAsia="仿宋" w:cs="仿宋"/>
          <w:sz w:val="28"/>
          <w:szCs w:val="28"/>
        </w:rPr>
        <w:t>名称）法定代表人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 xml:space="preserve">           </w:t>
      </w:r>
      <w:r>
        <w:rPr>
          <w:rFonts w:hint="eastAsia" w:ascii="仿宋" w:hAnsi="仿宋" w:eastAsia="仿宋" w:cs="仿宋"/>
          <w:sz w:val="28"/>
          <w:szCs w:val="28"/>
        </w:rPr>
        <w:t>（全权代表姓名）为全权代表法定代表人，参加贵方组织</w:t>
      </w:r>
      <w:r>
        <w:rPr>
          <w:rFonts w:hint="eastAsia" w:ascii="仿宋" w:hAnsi="仿宋" w:eastAsia="仿宋" w:cs="仿宋"/>
          <w:sz w:val="28"/>
          <w:szCs w:val="28"/>
          <w:u w:val="none"/>
        </w:rPr>
        <w:t>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项目</w:t>
      </w:r>
      <w:r>
        <w:rPr>
          <w:rFonts w:hint="eastAsia" w:ascii="仿宋" w:hAnsi="仿宋" w:eastAsia="仿宋" w:cs="仿宋"/>
          <w:sz w:val="28"/>
          <w:szCs w:val="28"/>
          <w:lang w:val="en-US" w:eastAsia="zh-CN"/>
        </w:rPr>
        <w:t>竞争性</w:t>
      </w:r>
      <w:r>
        <w:rPr>
          <w:rFonts w:hint="eastAsia" w:ascii="仿宋" w:hAnsi="仿宋" w:eastAsia="仿宋" w:cs="仿宋"/>
          <w:sz w:val="28"/>
          <w:szCs w:val="28"/>
        </w:rPr>
        <w:t>谈判会议，全权处理采购项目中的一切事宜。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法定代表人授权委托书有效期____年__月__日至____年__月__日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CN"/>
        </w:rPr>
        <w:t>竞谈人</w:t>
      </w:r>
      <w:r>
        <w:rPr>
          <w:rFonts w:hint="eastAsia" w:ascii="仿宋" w:hAnsi="仿宋" w:eastAsia="仿宋" w:cs="仿宋"/>
          <w:sz w:val="28"/>
          <w:szCs w:val="28"/>
        </w:rPr>
        <w:t>公司全称（公章）：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法定代表人（签字或印章）：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身份证号码：</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职      务：</w:t>
      </w:r>
    </w:p>
    <w:p>
      <w:pPr>
        <w:spacing w:line="360" w:lineRule="auto"/>
        <w:rPr>
          <w:rFonts w:ascii="仿宋" w:hAnsi="仿宋" w:eastAsia="仿宋" w:cs="仿宋"/>
          <w:b/>
          <w:bCs/>
          <w:sz w:val="28"/>
          <w:szCs w:val="28"/>
        </w:rPr>
      </w:pPr>
      <w:r>
        <w:rPr>
          <w:rFonts w:hint="eastAsia" w:ascii="仿宋" w:hAnsi="仿宋" w:eastAsia="仿宋" w:cs="仿宋"/>
          <w:b/>
          <w:bCs/>
          <w:sz w:val="28"/>
          <w:szCs w:val="28"/>
        </w:rPr>
        <w:t>附：</w:t>
      </w:r>
    </w:p>
    <w:tbl>
      <w:tblPr>
        <w:tblStyle w:val="23"/>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4" w:hRule="atLeast"/>
          <w:jc w:val="center"/>
        </w:trPr>
        <w:tc>
          <w:tcPr>
            <w:tcW w:w="4415"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法定代表人身份证复印件（正反面）</w:t>
            </w:r>
          </w:p>
        </w:tc>
        <w:tc>
          <w:tcPr>
            <w:tcW w:w="4675"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授权委托人身份证复印件（正反面）</w:t>
            </w:r>
          </w:p>
        </w:tc>
      </w:tr>
    </w:tbl>
    <w:p>
      <w:pPr>
        <w:spacing w:line="360" w:lineRule="auto"/>
        <w:rPr>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pPr>
        <w:pStyle w:val="2"/>
        <w:spacing w:line="360" w:lineRule="auto"/>
        <w:ind w:firstLine="0" w:firstLineChars="0"/>
        <w:jc w:val="center"/>
        <w:rPr>
          <w:rFonts w:hint="eastAsia" w:ascii="仿宋" w:hAnsi="仿宋" w:eastAsia="仿宋" w:cs="仿宋"/>
        </w:rPr>
      </w:pPr>
      <w:r>
        <w:rPr>
          <w:rFonts w:hint="eastAsia" w:ascii="仿宋" w:hAnsi="仿宋" w:eastAsia="仿宋" w:cs="仿宋"/>
          <w:iCs/>
          <w:szCs w:val="21"/>
          <w:shd w:val="clear" w:color="auto" w:fill="FFFFFF"/>
        </w:rPr>
        <w:t>（要求：1、具备社保局出具的材料；2、具备本单位名称及授权委托人姓名。）</w:t>
      </w:r>
    </w:p>
    <w:p>
      <w:pPr>
        <w:spacing w:line="360" w:lineRule="auto"/>
        <w:rPr>
          <w:rFonts w:ascii="仿宋" w:hAnsi="仿宋" w:eastAsia="仿宋" w:cs="仿宋"/>
          <w:sz w:val="30"/>
          <w:szCs w:val="30"/>
        </w:rPr>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D6FE283A"/>
    <w:multiLevelType w:val="singleLevel"/>
    <w:tmpl w:val="D6FE283A"/>
    <w:lvl w:ilvl="0" w:tentative="0">
      <w:start w:val="1"/>
      <w:numFmt w:val="decimal"/>
      <w:pStyle w:val="59"/>
      <w:suff w:val="nothing"/>
      <w:lvlText w:val="%1）"/>
      <w:lvlJc w:val="left"/>
    </w:lvl>
  </w:abstractNum>
  <w:abstractNum w:abstractNumId="1">
    <w:nsid w:val="580D261D"/>
    <w:multiLevelType w:val="multilevel"/>
    <w:tmpl w:val="580D261D"/>
    <w:lvl w:ilvl="0" w:tentative="0">
      <w:start w:val="1"/>
      <w:numFmt w:val="bullet"/>
      <w:pStyle w:val="61"/>
      <w:lvlText w:val=""/>
      <w:lvlPicBulletId w:val="0"/>
      <w:lvlJc w:val="left"/>
      <w:pPr>
        <w:tabs>
          <w:tab w:val="left" w:pos="1548"/>
        </w:tabs>
        <w:ind w:left="1548" w:hanging="420"/>
      </w:pPr>
      <w:rPr>
        <w:rFonts w:hint="default" w:ascii="Symbol" w:hAnsi="Symbol"/>
        <w:color w:val="auto"/>
      </w:rPr>
    </w:lvl>
    <w:lvl w:ilvl="1" w:tentative="0">
      <w:start w:val="1"/>
      <w:numFmt w:val="bullet"/>
      <w:lvlText w:val=""/>
      <w:lvlJc w:val="left"/>
      <w:pPr>
        <w:tabs>
          <w:tab w:val="left" w:pos="1968"/>
        </w:tabs>
        <w:ind w:left="1968" w:hanging="420"/>
      </w:pPr>
      <w:rPr>
        <w:rFonts w:hint="default" w:ascii="Wingdings" w:hAnsi="Wingdings"/>
      </w:rPr>
    </w:lvl>
    <w:lvl w:ilvl="2" w:tentative="0">
      <w:start w:val="1"/>
      <w:numFmt w:val="bullet"/>
      <w:lvlText w:val=""/>
      <w:lvlJc w:val="left"/>
      <w:pPr>
        <w:tabs>
          <w:tab w:val="left" w:pos="2388"/>
        </w:tabs>
        <w:ind w:left="2388" w:hanging="420"/>
      </w:pPr>
      <w:rPr>
        <w:rFonts w:hint="default" w:ascii="Wingdings" w:hAnsi="Wingdings"/>
      </w:rPr>
    </w:lvl>
    <w:lvl w:ilvl="3" w:tentative="0">
      <w:start w:val="1"/>
      <w:numFmt w:val="bullet"/>
      <w:lvlText w:val=""/>
      <w:lvlJc w:val="left"/>
      <w:pPr>
        <w:tabs>
          <w:tab w:val="left" w:pos="2808"/>
        </w:tabs>
        <w:ind w:left="2808" w:hanging="420"/>
      </w:pPr>
      <w:rPr>
        <w:rFonts w:hint="default" w:ascii="Wingdings" w:hAnsi="Wingdings"/>
      </w:rPr>
    </w:lvl>
    <w:lvl w:ilvl="4" w:tentative="0">
      <w:start w:val="1"/>
      <w:numFmt w:val="bullet"/>
      <w:lvlText w:val=""/>
      <w:lvlJc w:val="left"/>
      <w:pPr>
        <w:tabs>
          <w:tab w:val="left" w:pos="3228"/>
        </w:tabs>
        <w:ind w:left="3228" w:hanging="420"/>
      </w:pPr>
      <w:rPr>
        <w:rFonts w:hint="default" w:ascii="Wingdings" w:hAnsi="Wingdings"/>
      </w:rPr>
    </w:lvl>
    <w:lvl w:ilvl="5" w:tentative="0">
      <w:start w:val="1"/>
      <w:numFmt w:val="bullet"/>
      <w:lvlText w:val=""/>
      <w:lvlJc w:val="left"/>
      <w:pPr>
        <w:tabs>
          <w:tab w:val="left" w:pos="3648"/>
        </w:tabs>
        <w:ind w:left="3648" w:hanging="420"/>
      </w:pPr>
      <w:rPr>
        <w:rFonts w:hint="default" w:ascii="Wingdings" w:hAnsi="Wingdings"/>
      </w:rPr>
    </w:lvl>
    <w:lvl w:ilvl="6" w:tentative="0">
      <w:start w:val="1"/>
      <w:numFmt w:val="bullet"/>
      <w:lvlText w:val=""/>
      <w:lvlJc w:val="left"/>
      <w:pPr>
        <w:tabs>
          <w:tab w:val="left" w:pos="4068"/>
        </w:tabs>
        <w:ind w:left="4068" w:hanging="420"/>
      </w:pPr>
      <w:rPr>
        <w:rFonts w:hint="default" w:ascii="Wingdings" w:hAnsi="Wingdings"/>
      </w:rPr>
    </w:lvl>
    <w:lvl w:ilvl="7" w:tentative="0">
      <w:start w:val="1"/>
      <w:numFmt w:val="bullet"/>
      <w:lvlText w:val=""/>
      <w:lvlJc w:val="left"/>
      <w:pPr>
        <w:tabs>
          <w:tab w:val="left" w:pos="4488"/>
        </w:tabs>
        <w:ind w:left="4488" w:hanging="420"/>
      </w:pPr>
      <w:rPr>
        <w:rFonts w:hint="default" w:ascii="Wingdings" w:hAnsi="Wingdings"/>
      </w:rPr>
    </w:lvl>
    <w:lvl w:ilvl="8" w:tentative="0">
      <w:start w:val="1"/>
      <w:numFmt w:val="bullet"/>
      <w:lvlText w:val=""/>
      <w:lvlJc w:val="left"/>
      <w:pPr>
        <w:tabs>
          <w:tab w:val="left" w:pos="4908"/>
        </w:tabs>
        <w:ind w:left="4908"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NmNhNzcwNjk2MGNhMDFmOTJiY2ZiODNhMWNkYmUifQ=="/>
    <w:docVar w:name="KSO_WPS_MARK_KEY" w:val="116f168e-9c24-4eb4-946c-8e929ebf7c19"/>
  </w:docVars>
  <w:rsids>
    <w:rsidRoot w:val="00222DA1"/>
    <w:rsid w:val="000128CE"/>
    <w:rsid w:val="00027816"/>
    <w:rsid w:val="00041CBC"/>
    <w:rsid w:val="00043A69"/>
    <w:rsid w:val="00057D74"/>
    <w:rsid w:val="000614E5"/>
    <w:rsid w:val="0007436A"/>
    <w:rsid w:val="00074754"/>
    <w:rsid w:val="00076FB8"/>
    <w:rsid w:val="00080551"/>
    <w:rsid w:val="000816F6"/>
    <w:rsid w:val="00092AE0"/>
    <w:rsid w:val="00093A8A"/>
    <w:rsid w:val="000A2D1D"/>
    <w:rsid w:val="000A7CBE"/>
    <w:rsid w:val="000C0E8C"/>
    <w:rsid w:val="000C1D62"/>
    <w:rsid w:val="000C3AC3"/>
    <w:rsid w:val="000D4729"/>
    <w:rsid w:val="000D5F00"/>
    <w:rsid w:val="000D6711"/>
    <w:rsid w:val="000E0895"/>
    <w:rsid w:val="000F2E0F"/>
    <w:rsid w:val="000F6474"/>
    <w:rsid w:val="00105440"/>
    <w:rsid w:val="0011026A"/>
    <w:rsid w:val="001109ED"/>
    <w:rsid w:val="00111837"/>
    <w:rsid w:val="00123586"/>
    <w:rsid w:val="001313D8"/>
    <w:rsid w:val="00133139"/>
    <w:rsid w:val="0013791C"/>
    <w:rsid w:val="00140ED8"/>
    <w:rsid w:val="001414C3"/>
    <w:rsid w:val="00146358"/>
    <w:rsid w:val="00147612"/>
    <w:rsid w:val="0014771C"/>
    <w:rsid w:val="001531F4"/>
    <w:rsid w:val="001613A3"/>
    <w:rsid w:val="00164155"/>
    <w:rsid w:val="00172DCB"/>
    <w:rsid w:val="0018272C"/>
    <w:rsid w:val="00184CFE"/>
    <w:rsid w:val="001900E9"/>
    <w:rsid w:val="00193ADD"/>
    <w:rsid w:val="0019758C"/>
    <w:rsid w:val="001A03FA"/>
    <w:rsid w:val="001A7011"/>
    <w:rsid w:val="001B0DD4"/>
    <w:rsid w:val="001B10CB"/>
    <w:rsid w:val="001B4145"/>
    <w:rsid w:val="001B573F"/>
    <w:rsid w:val="001B7CE8"/>
    <w:rsid w:val="001D4C37"/>
    <w:rsid w:val="001F00E8"/>
    <w:rsid w:val="001F33FC"/>
    <w:rsid w:val="00213D65"/>
    <w:rsid w:val="00222DA1"/>
    <w:rsid w:val="00222E09"/>
    <w:rsid w:val="00224EE3"/>
    <w:rsid w:val="00225746"/>
    <w:rsid w:val="00227B65"/>
    <w:rsid w:val="00241DFB"/>
    <w:rsid w:val="00262594"/>
    <w:rsid w:val="00277886"/>
    <w:rsid w:val="00277D92"/>
    <w:rsid w:val="00277DAB"/>
    <w:rsid w:val="00282D24"/>
    <w:rsid w:val="0029054F"/>
    <w:rsid w:val="002924C0"/>
    <w:rsid w:val="002977BC"/>
    <w:rsid w:val="002A2F33"/>
    <w:rsid w:val="002B11EC"/>
    <w:rsid w:val="002B4905"/>
    <w:rsid w:val="002C1FE7"/>
    <w:rsid w:val="002C35BD"/>
    <w:rsid w:val="002C5D53"/>
    <w:rsid w:val="002C68EC"/>
    <w:rsid w:val="002D3537"/>
    <w:rsid w:val="002D580E"/>
    <w:rsid w:val="002D5B13"/>
    <w:rsid w:val="002E63A5"/>
    <w:rsid w:val="002E6B00"/>
    <w:rsid w:val="002E7534"/>
    <w:rsid w:val="002F4320"/>
    <w:rsid w:val="002F617C"/>
    <w:rsid w:val="0030287C"/>
    <w:rsid w:val="003078E2"/>
    <w:rsid w:val="00321496"/>
    <w:rsid w:val="00324193"/>
    <w:rsid w:val="0032792D"/>
    <w:rsid w:val="003326C5"/>
    <w:rsid w:val="00332BA2"/>
    <w:rsid w:val="00333902"/>
    <w:rsid w:val="00341BB7"/>
    <w:rsid w:val="00343D71"/>
    <w:rsid w:val="00350D65"/>
    <w:rsid w:val="003546C6"/>
    <w:rsid w:val="003578FC"/>
    <w:rsid w:val="00357AF5"/>
    <w:rsid w:val="00361AC6"/>
    <w:rsid w:val="003665CD"/>
    <w:rsid w:val="00366D0B"/>
    <w:rsid w:val="00373B15"/>
    <w:rsid w:val="00376C39"/>
    <w:rsid w:val="00383ADA"/>
    <w:rsid w:val="003B1AED"/>
    <w:rsid w:val="003B6377"/>
    <w:rsid w:val="003B774A"/>
    <w:rsid w:val="003C25DE"/>
    <w:rsid w:val="003C3EEB"/>
    <w:rsid w:val="003C4009"/>
    <w:rsid w:val="003E6DFD"/>
    <w:rsid w:val="003F6990"/>
    <w:rsid w:val="004044D2"/>
    <w:rsid w:val="004235C6"/>
    <w:rsid w:val="004251FB"/>
    <w:rsid w:val="00433476"/>
    <w:rsid w:val="00434050"/>
    <w:rsid w:val="00434B9B"/>
    <w:rsid w:val="00440CE2"/>
    <w:rsid w:val="00460219"/>
    <w:rsid w:val="00471E15"/>
    <w:rsid w:val="00474810"/>
    <w:rsid w:val="00475068"/>
    <w:rsid w:val="00481E10"/>
    <w:rsid w:val="00485C3F"/>
    <w:rsid w:val="0049385E"/>
    <w:rsid w:val="004B2619"/>
    <w:rsid w:val="004C447B"/>
    <w:rsid w:val="004D3ABF"/>
    <w:rsid w:val="004F014C"/>
    <w:rsid w:val="004F22FF"/>
    <w:rsid w:val="004F24B6"/>
    <w:rsid w:val="004F635E"/>
    <w:rsid w:val="00503459"/>
    <w:rsid w:val="00504AD9"/>
    <w:rsid w:val="00504FC2"/>
    <w:rsid w:val="00505952"/>
    <w:rsid w:val="00523003"/>
    <w:rsid w:val="00523B2C"/>
    <w:rsid w:val="00525508"/>
    <w:rsid w:val="005258FA"/>
    <w:rsid w:val="00531CDE"/>
    <w:rsid w:val="00537D61"/>
    <w:rsid w:val="0055156D"/>
    <w:rsid w:val="00564D15"/>
    <w:rsid w:val="0057105D"/>
    <w:rsid w:val="005754F1"/>
    <w:rsid w:val="00582DCB"/>
    <w:rsid w:val="005900D5"/>
    <w:rsid w:val="00590CB8"/>
    <w:rsid w:val="00594490"/>
    <w:rsid w:val="005A01C3"/>
    <w:rsid w:val="005A6CC7"/>
    <w:rsid w:val="005B4043"/>
    <w:rsid w:val="005B52ED"/>
    <w:rsid w:val="005B718D"/>
    <w:rsid w:val="005C06DB"/>
    <w:rsid w:val="005C56EA"/>
    <w:rsid w:val="005E2CA9"/>
    <w:rsid w:val="005E6655"/>
    <w:rsid w:val="005F55BB"/>
    <w:rsid w:val="006054AD"/>
    <w:rsid w:val="00615B50"/>
    <w:rsid w:val="00617934"/>
    <w:rsid w:val="00620398"/>
    <w:rsid w:val="006226B4"/>
    <w:rsid w:val="00622874"/>
    <w:rsid w:val="006254A3"/>
    <w:rsid w:val="00626F00"/>
    <w:rsid w:val="0063031D"/>
    <w:rsid w:val="006337D2"/>
    <w:rsid w:val="00657020"/>
    <w:rsid w:val="006606DC"/>
    <w:rsid w:val="006634DE"/>
    <w:rsid w:val="00665033"/>
    <w:rsid w:val="00670942"/>
    <w:rsid w:val="00680A2D"/>
    <w:rsid w:val="006973AE"/>
    <w:rsid w:val="006A063B"/>
    <w:rsid w:val="006A0908"/>
    <w:rsid w:val="006B1602"/>
    <w:rsid w:val="006B493B"/>
    <w:rsid w:val="006C5015"/>
    <w:rsid w:val="006C597C"/>
    <w:rsid w:val="006C7FFB"/>
    <w:rsid w:val="006D219E"/>
    <w:rsid w:val="006D7F54"/>
    <w:rsid w:val="006E0EB4"/>
    <w:rsid w:val="006E2C19"/>
    <w:rsid w:val="006F0841"/>
    <w:rsid w:val="006F4442"/>
    <w:rsid w:val="00700757"/>
    <w:rsid w:val="00704C15"/>
    <w:rsid w:val="00707977"/>
    <w:rsid w:val="00710A2E"/>
    <w:rsid w:val="0071652C"/>
    <w:rsid w:val="00720246"/>
    <w:rsid w:val="00732196"/>
    <w:rsid w:val="00734CBF"/>
    <w:rsid w:val="007454E8"/>
    <w:rsid w:val="0074727D"/>
    <w:rsid w:val="00762760"/>
    <w:rsid w:val="0076416A"/>
    <w:rsid w:val="00771655"/>
    <w:rsid w:val="00773006"/>
    <w:rsid w:val="0077309A"/>
    <w:rsid w:val="00775F04"/>
    <w:rsid w:val="00776C95"/>
    <w:rsid w:val="007815C3"/>
    <w:rsid w:val="00782B3C"/>
    <w:rsid w:val="00795FD5"/>
    <w:rsid w:val="007A4E49"/>
    <w:rsid w:val="007A7445"/>
    <w:rsid w:val="007B23DE"/>
    <w:rsid w:val="007B55A5"/>
    <w:rsid w:val="007B56D3"/>
    <w:rsid w:val="007C6CD9"/>
    <w:rsid w:val="007D31B7"/>
    <w:rsid w:val="007D55E6"/>
    <w:rsid w:val="007F46E7"/>
    <w:rsid w:val="00803D3F"/>
    <w:rsid w:val="00813A92"/>
    <w:rsid w:val="0083035A"/>
    <w:rsid w:val="0083215A"/>
    <w:rsid w:val="00833450"/>
    <w:rsid w:val="00834A9E"/>
    <w:rsid w:val="0085463D"/>
    <w:rsid w:val="00863852"/>
    <w:rsid w:val="00870B5A"/>
    <w:rsid w:val="00873611"/>
    <w:rsid w:val="0087429E"/>
    <w:rsid w:val="008758E3"/>
    <w:rsid w:val="0089248C"/>
    <w:rsid w:val="008A16F9"/>
    <w:rsid w:val="008B3E34"/>
    <w:rsid w:val="008C5D53"/>
    <w:rsid w:val="008D5360"/>
    <w:rsid w:val="008F08D8"/>
    <w:rsid w:val="008F0D62"/>
    <w:rsid w:val="00906527"/>
    <w:rsid w:val="00910349"/>
    <w:rsid w:val="009444B9"/>
    <w:rsid w:val="0096384F"/>
    <w:rsid w:val="00964DAA"/>
    <w:rsid w:val="00964DED"/>
    <w:rsid w:val="00970225"/>
    <w:rsid w:val="00972855"/>
    <w:rsid w:val="00973257"/>
    <w:rsid w:val="00974F19"/>
    <w:rsid w:val="00976007"/>
    <w:rsid w:val="00981F73"/>
    <w:rsid w:val="0098215F"/>
    <w:rsid w:val="0098418E"/>
    <w:rsid w:val="00984462"/>
    <w:rsid w:val="00987E10"/>
    <w:rsid w:val="0099617E"/>
    <w:rsid w:val="009976D4"/>
    <w:rsid w:val="009B29A3"/>
    <w:rsid w:val="009B48B5"/>
    <w:rsid w:val="009C2436"/>
    <w:rsid w:val="009C640D"/>
    <w:rsid w:val="009C7F8F"/>
    <w:rsid w:val="009D224F"/>
    <w:rsid w:val="009F0655"/>
    <w:rsid w:val="009F3499"/>
    <w:rsid w:val="00A11BEB"/>
    <w:rsid w:val="00A12A5B"/>
    <w:rsid w:val="00A13E06"/>
    <w:rsid w:val="00A168C3"/>
    <w:rsid w:val="00A3212F"/>
    <w:rsid w:val="00A5065D"/>
    <w:rsid w:val="00A526E5"/>
    <w:rsid w:val="00A53F76"/>
    <w:rsid w:val="00A572E6"/>
    <w:rsid w:val="00A67E04"/>
    <w:rsid w:val="00A877B3"/>
    <w:rsid w:val="00A9115C"/>
    <w:rsid w:val="00A974DA"/>
    <w:rsid w:val="00AA0183"/>
    <w:rsid w:val="00AA28FF"/>
    <w:rsid w:val="00AA46FF"/>
    <w:rsid w:val="00AC30CB"/>
    <w:rsid w:val="00AD3670"/>
    <w:rsid w:val="00AD70AE"/>
    <w:rsid w:val="00AD7B0D"/>
    <w:rsid w:val="00AE1D97"/>
    <w:rsid w:val="00AE2811"/>
    <w:rsid w:val="00AF23AE"/>
    <w:rsid w:val="00AF40B0"/>
    <w:rsid w:val="00AF4203"/>
    <w:rsid w:val="00B02485"/>
    <w:rsid w:val="00B036A4"/>
    <w:rsid w:val="00B12A8F"/>
    <w:rsid w:val="00B17F88"/>
    <w:rsid w:val="00B21330"/>
    <w:rsid w:val="00B305BE"/>
    <w:rsid w:val="00B37B2E"/>
    <w:rsid w:val="00B47811"/>
    <w:rsid w:val="00B54EAB"/>
    <w:rsid w:val="00B62398"/>
    <w:rsid w:val="00B63BDA"/>
    <w:rsid w:val="00B64147"/>
    <w:rsid w:val="00B75A08"/>
    <w:rsid w:val="00B765BA"/>
    <w:rsid w:val="00B7700E"/>
    <w:rsid w:val="00BA2172"/>
    <w:rsid w:val="00BA6099"/>
    <w:rsid w:val="00BC788D"/>
    <w:rsid w:val="00BD5E29"/>
    <w:rsid w:val="00BD7871"/>
    <w:rsid w:val="00BE05DA"/>
    <w:rsid w:val="00C01874"/>
    <w:rsid w:val="00C01AFA"/>
    <w:rsid w:val="00C03A10"/>
    <w:rsid w:val="00C159A6"/>
    <w:rsid w:val="00C16E59"/>
    <w:rsid w:val="00C219D7"/>
    <w:rsid w:val="00C2266D"/>
    <w:rsid w:val="00C23DFD"/>
    <w:rsid w:val="00C25F97"/>
    <w:rsid w:val="00C418C1"/>
    <w:rsid w:val="00C53044"/>
    <w:rsid w:val="00C612F6"/>
    <w:rsid w:val="00C66764"/>
    <w:rsid w:val="00C73DD0"/>
    <w:rsid w:val="00C7598F"/>
    <w:rsid w:val="00C77CC0"/>
    <w:rsid w:val="00C93F15"/>
    <w:rsid w:val="00C97DA1"/>
    <w:rsid w:val="00CA6F63"/>
    <w:rsid w:val="00CB07C7"/>
    <w:rsid w:val="00CB4514"/>
    <w:rsid w:val="00CC23B1"/>
    <w:rsid w:val="00CD2455"/>
    <w:rsid w:val="00CE2064"/>
    <w:rsid w:val="00CF1CA4"/>
    <w:rsid w:val="00D030E4"/>
    <w:rsid w:val="00D059C8"/>
    <w:rsid w:val="00D0653F"/>
    <w:rsid w:val="00D15A9E"/>
    <w:rsid w:val="00D26BB3"/>
    <w:rsid w:val="00D34260"/>
    <w:rsid w:val="00D354A7"/>
    <w:rsid w:val="00D40CB7"/>
    <w:rsid w:val="00D54C4C"/>
    <w:rsid w:val="00D61436"/>
    <w:rsid w:val="00D62311"/>
    <w:rsid w:val="00D75FCE"/>
    <w:rsid w:val="00D8309B"/>
    <w:rsid w:val="00D87A94"/>
    <w:rsid w:val="00DB31B5"/>
    <w:rsid w:val="00DB3772"/>
    <w:rsid w:val="00DD382D"/>
    <w:rsid w:val="00DE117B"/>
    <w:rsid w:val="00DF7D63"/>
    <w:rsid w:val="00E14B98"/>
    <w:rsid w:val="00E16297"/>
    <w:rsid w:val="00E167BC"/>
    <w:rsid w:val="00E177A6"/>
    <w:rsid w:val="00E25E68"/>
    <w:rsid w:val="00E26C97"/>
    <w:rsid w:val="00E37EFD"/>
    <w:rsid w:val="00E452E6"/>
    <w:rsid w:val="00E61174"/>
    <w:rsid w:val="00E84BEF"/>
    <w:rsid w:val="00E8505F"/>
    <w:rsid w:val="00ED17F4"/>
    <w:rsid w:val="00ED18C7"/>
    <w:rsid w:val="00ED383B"/>
    <w:rsid w:val="00ED5E1B"/>
    <w:rsid w:val="00EE3A55"/>
    <w:rsid w:val="00EF0E25"/>
    <w:rsid w:val="00EF141B"/>
    <w:rsid w:val="00F10BFA"/>
    <w:rsid w:val="00F11DE9"/>
    <w:rsid w:val="00F249AE"/>
    <w:rsid w:val="00F250F4"/>
    <w:rsid w:val="00F267CE"/>
    <w:rsid w:val="00F321EF"/>
    <w:rsid w:val="00F42640"/>
    <w:rsid w:val="00F47367"/>
    <w:rsid w:val="00F618DE"/>
    <w:rsid w:val="00F72522"/>
    <w:rsid w:val="00F73923"/>
    <w:rsid w:val="00F74734"/>
    <w:rsid w:val="00F74DD0"/>
    <w:rsid w:val="00F75727"/>
    <w:rsid w:val="00F8230C"/>
    <w:rsid w:val="00F950F2"/>
    <w:rsid w:val="00F95612"/>
    <w:rsid w:val="00FC3565"/>
    <w:rsid w:val="00FD0B11"/>
    <w:rsid w:val="00FD7F70"/>
    <w:rsid w:val="00FE3BAB"/>
    <w:rsid w:val="00FE4B6E"/>
    <w:rsid w:val="00FF13A7"/>
    <w:rsid w:val="00FF1B0C"/>
    <w:rsid w:val="035A1765"/>
    <w:rsid w:val="03651B3E"/>
    <w:rsid w:val="046870E2"/>
    <w:rsid w:val="04CE3349"/>
    <w:rsid w:val="06BD49D2"/>
    <w:rsid w:val="0730658B"/>
    <w:rsid w:val="077C6011"/>
    <w:rsid w:val="089B3877"/>
    <w:rsid w:val="08C96B8A"/>
    <w:rsid w:val="08CC75DB"/>
    <w:rsid w:val="0BAA45B5"/>
    <w:rsid w:val="0C5344D9"/>
    <w:rsid w:val="0D371492"/>
    <w:rsid w:val="0D3C1B5A"/>
    <w:rsid w:val="0F496BAC"/>
    <w:rsid w:val="0FDA5940"/>
    <w:rsid w:val="10EA6CCD"/>
    <w:rsid w:val="11123E05"/>
    <w:rsid w:val="11252FAC"/>
    <w:rsid w:val="113C1141"/>
    <w:rsid w:val="11800EDD"/>
    <w:rsid w:val="1264715A"/>
    <w:rsid w:val="12B6798C"/>
    <w:rsid w:val="12C11271"/>
    <w:rsid w:val="1497177E"/>
    <w:rsid w:val="14A70DBF"/>
    <w:rsid w:val="14A830B1"/>
    <w:rsid w:val="15034BE8"/>
    <w:rsid w:val="185C22F5"/>
    <w:rsid w:val="187663B1"/>
    <w:rsid w:val="18A01758"/>
    <w:rsid w:val="1AB25E83"/>
    <w:rsid w:val="1BF86877"/>
    <w:rsid w:val="1D5201EE"/>
    <w:rsid w:val="202A544C"/>
    <w:rsid w:val="20FD09F0"/>
    <w:rsid w:val="213A4A36"/>
    <w:rsid w:val="220B62CD"/>
    <w:rsid w:val="23C12655"/>
    <w:rsid w:val="24C421EB"/>
    <w:rsid w:val="263337F6"/>
    <w:rsid w:val="263B6D0C"/>
    <w:rsid w:val="27D738F7"/>
    <w:rsid w:val="27FE1796"/>
    <w:rsid w:val="287839B9"/>
    <w:rsid w:val="29752E1E"/>
    <w:rsid w:val="29D712F4"/>
    <w:rsid w:val="2AFF6FC4"/>
    <w:rsid w:val="2EA34673"/>
    <w:rsid w:val="2F71582D"/>
    <w:rsid w:val="308A2B53"/>
    <w:rsid w:val="30A24ECD"/>
    <w:rsid w:val="31F10C28"/>
    <w:rsid w:val="340922B3"/>
    <w:rsid w:val="34DF2240"/>
    <w:rsid w:val="36167F19"/>
    <w:rsid w:val="361A116F"/>
    <w:rsid w:val="36837B49"/>
    <w:rsid w:val="36F94407"/>
    <w:rsid w:val="36FA5F4A"/>
    <w:rsid w:val="373835C6"/>
    <w:rsid w:val="37E9330B"/>
    <w:rsid w:val="3804431C"/>
    <w:rsid w:val="38667FDE"/>
    <w:rsid w:val="391B4CD8"/>
    <w:rsid w:val="3A0B08F5"/>
    <w:rsid w:val="3BCC4032"/>
    <w:rsid w:val="3D7927DD"/>
    <w:rsid w:val="3EC8116A"/>
    <w:rsid w:val="3F353976"/>
    <w:rsid w:val="408C7146"/>
    <w:rsid w:val="414B1A2F"/>
    <w:rsid w:val="426F5572"/>
    <w:rsid w:val="443E4CE0"/>
    <w:rsid w:val="448449BD"/>
    <w:rsid w:val="44BA6890"/>
    <w:rsid w:val="45BA64B2"/>
    <w:rsid w:val="489C6FE0"/>
    <w:rsid w:val="494A5CD3"/>
    <w:rsid w:val="49633ED8"/>
    <w:rsid w:val="4B237107"/>
    <w:rsid w:val="4C1012E2"/>
    <w:rsid w:val="4CB75B03"/>
    <w:rsid w:val="4EC141A3"/>
    <w:rsid w:val="50EF743A"/>
    <w:rsid w:val="5241565D"/>
    <w:rsid w:val="53501CD6"/>
    <w:rsid w:val="555C797D"/>
    <w:rsid w:val="57374697"/>
    <w:rsid w:val="58442928"/>
    <w:rsid w:val="59CC7928"/>
    <w:rsid w:val="5AB03056"/>
    <w:rsid w:val="5AF168DB"/>
    <w:rsid w:val="5B254759"/>
    <w:rsid w:val="5BBA0D31"/>
    <w:rsid w:val="5C327C6E"/>
    <w:rsid w:val="5C587A21"/>
    <w:rsid w:val="5D384F02"/>
    <w:rsid w:val="5ED1014C"/>
    <w:rsid w:val="5FAD37A1"/>
    <w:rsid w:val="60E57D90"/>
    <w:rsid w:val="651E2501"/>
    <w:rsid w:val="659A1BC8"/>
    <w:rsid w:val="69EC374B"/>
    <w:rsid w:val="6A05798A"/>
    <w:rsid w:val="6A117E2C"/>
    <w:rsid w:val="6C086193"/>
    <w:rsid w:val="6D844F4B"/>
    <w:rsid w:val="6DDB6AB9"/>
    <w:rsid w:val="703F1A55"/>
    <w:rsid w:val="71927268"/>
    <w:rsid w:val="73552E0A"/>
    <w:rsid w:val="73F677F3"/>
    <w:rsid w:val="76125008"/>
    <w:rsid w:val="779C6211"/>
    <w:rsid w:val="77D077EB"/>
    <w:rsid w:val="7AB54B79"/>
    <w:rsid w:val="7C853DA2"/>
    <w:rsid w:val="7D8B19DD"/>
    <w:rsid w:val="7DD70E6A"/>
    <w:rsid w:val="7F38742D"/>
    <w:rsid w:val="F7BF00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semiHidden="0" w:name="heading 6"/>
    <w:lsdException w:qFormat="1" w:uiPriority="0" w:semiHidden="0" w:name="heading 7"/>
    <w:lsdException w:qFormat="1"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6" w:lineRule="auto"/>
      <w:outlineLvl w:val="0"/>
    </w:pPr>
    <w:rPr>
      <w:rFonts w:ascii="Calibri" w:hAnsi="Calibri"/>
      <w:b/>
      <w:kern w:val="44"/>
      <w:sz w:val="44"/>
    </w:rPr>
  </w:style>
  <w:style w:type="paragraph" w:styleId="4">
    <w:name w:val="heading 2"/>
    <w:basedOn w:val="1"/>
    <w:next w:val="1"/>
    <w:link w:val="39"/>
    <w:qFormat/>
    <w:uiPriority w:val="1"/>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0"/>
    <w:qFormat/>
    <w:uiPriority w:val="1"/>
    <w:pPr>
      <w:keepNext/>
      <w:keepLines/>
      <w:spacing w:before="260" w:after="260" w:line="416" w:lineRule="auto"/>
      <w:outlineLvl w:val="2"/>
    </w:pPr>
    <w:rPr>
      <w:rFonts w:ascii="Calibri" w:hAnsi="Calibri"/>
      <w:b/>
      <w:bCs/>
      <w:sz w:val="32"/>
      <w:szCs w:val="32"/>
    </w:rPr>
  </w:style>
  <w:style w:type="paragraph" w:styleId="6">
    <w:name w:val="heading 4"/>
    <w:basedOn w:val="1"/>
    <w:next w:val="1"/>
    <w:link w:val="41"/>
    <w:qFormat/>
    <w:uiPriority w:val="1"/>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link w:val="42"/>
    <w:qFormat/>
    <w:uiPriority w:val="1"/>
    <w:pPr>
      <w:keepNext/>
      <w:keepLines/>
      <w:spacing w:before="280" w:after="290" w:line="376" w:lineRule="auto"/>
      <w:outlineLvl w:val="4"/>
    </w:pPr>
    <w:rPr>
      <w:rFonts w:ascii="Calibri" w:hAnsi="Calibri"/>
      <w:b/>
      <w:bCs/>
      <w:sz w:val="28"/>
      <w:szCs w:val="28"/>
    </w:rPr>
  </w:style>
  <w:style w:type="paragraph" w:styleId="8">
    <w:name w:val="heading 6"/>
    <w:basedOn w:val="1"/>
    <w:next w:val="1"/>
    <w:link w:val="43"/>
    <w:unhideWhenUsed/>
    <w:qFormat/>
    <w:uiPriority w:val="0"/>
    <w:pPr>
      <w:keepNext/>
      <w:keepLines/>
      <w:spacing w:before="240" w:after="64" w:line="320" w:lineRule="auto"/>
      <w:outlineLvl w:val="5"/>
    </w:pPr>
    <w:rPr>
      <w:rFonts w:ascii="等线 Light" w:hAnsi="等线 Light" w:eastAsia="等线 Light"/>
      <w:b/>
      <w:bCs/>
      <w:sz w:val="24"/>
    </w:rPr>
  </w:style>
  <w:style w:type="paragraph" w:styleId="9">
    <w:name w:val="heading 7"/>
    <w:basedOn w:val="1"/>
    <w:next w:val="1"/>
    <w:link w:val="44"/>
    <w:unhideWhenUsed/>
    <w:qFormat/>
    <w:uiPriority w:val="0"/>
    <w:pPr>
      <w:keepNext/>
      <w:keepLines/>
      <w:spacing w:before="240" w:after="64" w:line="320" w:lineRule="auto"/>
      <w:outlineLvl w:val="6"/>
    </w:pPr>
    <w:rPr>
      <w:rFonts w:ascii="Calibri" w:hAnsi="Calibri"/>
      <w:b/>
      <w:bCs/>
      <w:sz w:val="24"/>
    </w:rPr>
  </w:style>
  <w:style w:type="paragraph" w:styleId="10">
    <w:name w:val="heading 8"/>
    <w:basedOn w:val="1"/>
    <w:next w:val="1"/>
    <w:link w:val="45"/>
    <w:unhideWhenUsed/>
    <w:qFormat/>
    <w:uiPriority w:val="0"/>
    <w:pPr>
      <w:keepNext/>
      <w:keepLines/>
      <w:spacing w:before="240" w:after="64" w:line="320" w:lineRule="auto"/>
      <w:outlineLvl w:val="7"/>
    </w:pPr>
    <w:rPr>
      <w:rFonts w:ascii="等线 Light" w:hAnsi="等线 Light" w:eastAsia="等线 Light"/>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6"/>
    <w:qFormat/>
    <w:uiPriority w:val="0"/>
    <w:pPr>
      <w:widowControl/>
      <w:spacing w:after="120" w:line="360" w:lineRule="auto"/>
      <w:ind w:firstLine="200" w:firstLineChars="200"/>
    </w:pPr>
    <w:rPr>
      <w:rFonts w:ascii="宋体"/>
      <w:kern w:val="0"/>
      <w:szCs w:val="20"/>
    </w:rPr>
  </w:style>
  <w:style w:type="paragraph" w:styleId="11">
    <w:name w:val="Normal Indent"/>
    <w:basedOn w:val="1"/>
    <w:qFormat/>
    <w:uiPriority w:val="0"/>
    <w:pPr>
      <w:ind w:firstLine="420" w:firstLineChars="200"/>
    </w:pPr>
    <w:rPr>
      <w:szCs w:val="20"/>
    </w:rPr>
  </w:style>
  <w:style w:type="paragraph" w:styleId="12">
    <w:name w:val="annotation text"/>
    <w:basedOn w:val="1"/>
    <w:link w:val="35"/>
    <w:unhideWhenUsed/>
    <w:qFormat/>
    <w:uiPriority w:val="0"/>
    <w:pPr>
      <w:jc w:val="left"/>
    </w:pPr>
  </w:style>
  <w:style w:type="paragraph" w:styleId="13">
    <w:name w:val="Body Text Indent"/>
    <w:basedOn w:val="1"/>
    <w:link w:val="33"/>
    <w:semiHidden/>
    <w:unhideWhenUsed/>
    <w:qFormat/>
    <w:uiPriority w:val="99"/>
    <w:pPr>
      <w:spacing w:after="120"/>
      <w:ind w:left="420" w:leftChars="200"/>
    </w:pPr>
  </w:style>
  <w:style w:type="paragraph" w:styleId="14">
    <w:name w:val="Balloon Text"/>
    <w:basedOn w:val="1"/>
    <w:link w:val="31"/>
    <w:semiHidden/>
    <w:unhideWhenUsed/>
    <w:qFormat/>
    <w:uiPriority w:val="99"/>
    <w:rPr>
      <w:sz w:val="18"/>
      <w:szCs w:val="18"/>
    </w:rPr>
  </w:style>
  <w:style w:type="paragraph" w:styleId="15">
    <w:name w:val="footer"/>
    <w:basedOn w:val="1"/>
    <w:link w:val="3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2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Body Text Indent 3"/>
    <w:basedOn w:val="1"/>
    <w:qFormat/>
    <w:uiPriority w:val="0"/>
    <w:pPr>
      <w:ind w:left="720"/>
    </w:pPr>
    <w:rPr>
      <w:szCs w:val="20"/>
    </w:rPr>
  </w:style>
  <w:style w:type="paragraph" w:styleId="1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63"/>
    <w:qFormat/>
    <w:uiPriority w:val="0"/>
    <w:pPr>
      <w:spacing w:before="240" w:after="60"/>
      <w:jc w:val="center"/>
      <w:outlineLvl w:val="0"/>
    </w:pPr>
    <w:rPr>
      <w:rFonts w:ascii="等线 Light" w:hAnsi="等线 Light"/>
      <w:b/>
      <w:bCs/>
      <w:sz w:val="32"/>
      <w:szCs w:val="32"/>
    </w:rPr>
  </w:style>
  <w:style w:type="paragraph" w:styleId="20">
    <w:name w:val="annotation subject"/>
    <w:basedOn w:val="12"/>
    <w:next w:val="12"/>
    <w:link w:val="36"/>
    <w:unhideWhenUsed/>
    <w:qFormat/>
    <w:uiPriority w:val="0"/>
    <w:rPr>
      <w:b/>
      <w:bCs/>
    </w:rPr>
  </w:style>
  <w:style w:type="paragraph" w:styleId="21">
    <w:name w:val="Body Text First Indent"/>
    <w:basedOn w:val="2"/>
    <w:link w:val="64"/>
    <w:semiHidden/>
    <w:unhideWhenUsed/>
    <w:qFormat/>
    <w:uiPriority w:val="99"/>
    <w:pPr>
      <w:widowControl w:val="0"/>
      <w:spacing w:line="240" w:lineRule="auto"/>
      <w:ind w:firstLine="420" w:firstLineChars="100"/>
    </w:pPr>
    <w:rPr>
      <w:rFonts w:ascii="Times New Roman"/>
      <w:kern w:val="2"/>
      <w:szCs w:val="24"/>
    </w:rPr>
  </w:style>
  <w:style w:type="paragraph" w:styleId="22">
    <w:name w:val="Body Text First Indent 2"/>
    <w:basedOn w:val="13"/>
    <w:link w:val="34"/>
    <w:qFormat/>
    <w:uiPriority w:val="0"/>
    <w:pPr>
      <w:ind w:firstLine="420" w:firstLineChars="200"/>
    </w:pPr>
    <w:rPr>
      <w:rFonts w:hAnsiTheme="minorHAnsi" w:eastAsiaTheme="minorEastAsia" w:cstheme="minorBidi"/>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Hyperlink"/>
    <w:qFormat/>
    <w:uiPriority w:val="99"/>
    <w:rPr>
      <w:color w:val="0000FF"/>
      <w:u w:val="none"/>
    </w:rPr>
  </w:style>
  <w:style w:type="character" w:styleId="28">
    <w:name w:val="annotation reference"/>
    <w:basedOn w:val="25"/>
    <w:unhideWhenUsed/>
    <w:qFormat/>
    <w:uiPriority w:val="0"/>
    <w:rPr>
      <w:sz w:val="21"/>
      <w:szCs w:val="21"/>
    </w:rPr>
  </w:style>
  <w:style w:type="character" w:customStyle="1" w:styleId="29">
    <w:name w:val="页眉 字符"/>
    <w:basedOn w:val="25"/>
    <w:link w:val="16"/>
    <w:qFormat/>
    <w:uiPriority w:val="99"/>
    <w:rPr>
      <w:sz w:val="18"/>
      <w:szCs w:val="18"/>
    </w:rPr>
  </w:style>
  <w:style w:type="character" w:customStyle="1" w:styleId="30">
    <w:name w:val="页脚 字符"/>
    <w:basedOn w:val="25"/>
    <w:link w:val="15"/>
    <w:qFormat/>
    <w:uiPriority w:val="99"/>
    <w:rPr>
      <w:sz w:val="18"/>
      <w:szCs w:val="18"/>
    </w:rPr>
  </w:style>
  <w:style w:type="character" w:customStyle="1" w:styleId="31">
    <w:name w:val="批注框文本 字符"/>
    <w:basedOn w:val="25"/>
    <w:link w:val="14"/>
    <w:semiHidden/>
    <w:qFormat/>
    <w:uiPriority w:val="99"/>
    <w:rPr>
      <w:rFonts w:ascii="Times New Roman" w:hAnsi="Times New Roman" w:eastAsia="宋体" w:cs="Times New Roman"/>
      <w:kern w:val="2"/>
      <w:sz w:val="18"/>
      <w:szCs w:val="18"/>
    </w:rPr>
  </w:style>
  <w:style w:type="paragraph" w:styleId="3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3">
    <w:name w:val="正文文本缩进 字符"/>
    <w:basedOn w:val="25"/>
    <w:link w:val="13"/>
    <w:semiHidden/>
    <w:qFormat/>
    <w:uiPriority w:val="99"/>
    <w:rPr>
      <w:rFonts w:ascii="Times New Roman" w:hAnsi="Times New Roman" w:eastAsia="宋体" w:cs="Times New Roman"/>
      <w:kern w:val="2"/>
      <w:sz w:val="21"/>
      <w:szCs w:val="24"/>
    </w:rPr>
  </w:style>
  <w:style w:type="character" w:customStyle="1" w:styleId="34">
    <w:name w:val="正文文本首行缩进 2 字符"/>
    <w:basedOn w:val="33"/>
    <w:link w:val="22"/>
    <w:qFormat/>
    <w:uiPriority w:val="0"/>
    <w:rPr>
      <w:rFonts w:ascii="Times New Roman" w:hAnsi="Times New Roman" w:eastAsia="宋体" w:cs="Times New Roman"/>
      <w:kern w:val="2"/>
      <w:sz w:val="21"/>
      <w:szCs w:val="24"/>
    </w:rPr>
  </w:style>
  <w:style w:type="character" w:customStyle="1" w:styleId="35">
    <w:name w:val="批注文字 字符"/>
    <w:basedOn w:val="25"/>
    <w:link w:val="12"/>
    <w:qFormat/>
    <w:uiPriority w:val="0"/>
    <w:rPr>
      <w:rFonts w:ascii="Times New Roman" w:hAnsi="Times New Roman" w:eastAsia="宋体" w:cs="Times New Roman"/>
      <w:kern w:val="2"/>
      <w:sz w:val="21"/>
      <w:szCs w:val="24"/>
    </w:rPr>
  </w:style>
  <w:style w:type="character" w:customStyle="1" w:styleId="36">
    <w:name w:val="批注主题 字符"/>
    <w:basedOn w:val="35"/>
    <w:link w:val="20"/>
    <w:qFormat/>
    <w:uiPriority w:val="0"/>
    <w:rPr>
      <w:rFonts w:ascii="Times New Roman" w:hAnsi="Times New Roman" w:eastAsia="宋体" w:cs="Times New Roman"/>
      <w:b/>
      <w:bCs/>
      <w:kern w:val="2"/>
      <w:sz w:val="21"/>
      <w:szCs w:val="24"/>
    </w:rPr>
  </w:style>
  <w:style w:type="paragraph" w:customStyle="1" w:styleId="37">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标题 1 字符"/>
    <w:basedOn w:val="25"/>
    <w:link w:val="3"/>
    <w:qFormat/>
    <w:uiPriority w:val="0"/>
    <w:rPr>
      <w:rFonts w:ascii="Calibri" w:hAnsi="Calibri" w:eastAsia="宋体" w:cs="Times New Roman"/>
      <w:b/>
      <w:kern w:val="44"/>
      <w:sz w:val="44"/>
      <w:szCs w:val="24"/>
    </w:rPr>
  </w:style>
  <w:style w:type="character" w:customStyle="1" w:styleId="39">
    <w:name w:val="标题 2 字符"/>
    <w:basedOn w:val="25"/>
    <w:link w:val="4"/>
    <w:qFormat/>
    <w:uiPriority w:val="1"/>
    <w:rPr>
      <w:rFonts w:ascii="Calibri Light" w:hAnsi="Calibri Light" w:eastAsia="宋体" w:cs="Times New Roman"/>
      <w:b/>
      <w:bCs/>
      <w:kern w:val="2"/>
      <w:sz w:val="32"/>
      <w:szCs w:val="32"/>
    </w:rPr>
  </w:style>
  <w:style w:type="character" w:customStyle="1" w:styleId="40">
    <w:name w:val="标题 3 字符"/>
    <w:basedOn w:val="25"/>
    <w:link w:val="5"/>
    <w:qFormat/>
    <w:uiPriority w:val="1"/>
    <w:rPr>
      <w:rFonts w:ascii="Calibri" w:hAnsi="Calibri" w:eastAsia="宋体" w:cs="Times New Roman"/>
      <w:b/>
      <w:bCs/>
      <w:kern w:val="2"/>
      <w:sz w:val="32"/>
      <w:szCs w:val="32"/>
    </w:rPr>
  </w:style>
  <w:style w:type="character" w:customStyle="1" w:styleId="41">
    <w:name w:val="标题 4 字符"/>
    <w:basedOn w:val="25"/>
    <w:link w:val="6"/>
    <w:qFormat/>
    <w:uiPriority w:val="1"/>
    <w:rPr>
      <w:rFonts w:ascii="Calibri Light" w:hAnsi="Calibri Light" w:eastAsia="宋体" w:cs="Times New Roman"/>
      <w:b/>
      <w:bCs/>
      <w:kern w:val="2"/>
      <w:sz w:val="28"/>
      <w:szCs w:val="28"/>
    </w:rPr>
  </w:style>
  <w:style w:type="character" w:customStyle="1" w:styleId="42">
    <w:name w:val="标题 5 字符"/>
    <w:basedOn w:val="25"/>
    <w:link w:val="7"/>
    <w:qFormat/>
    <w:uiPriority w:val="1"/>
    <w:rPr>
      <w:rFonts w:ascii="Calibri" w:hAnsi="Calibri" w:eastAsia="宋体" w:cs="Times New Roman"/>
      <w:b/>
      <w:bCs/>
      <w:kern w:val="2"/>
      <w:sz w:val="28"/>
      <w:szCs w:val="28"/>
    </w:rPr>
  </w:style>
  <w:style w:type="character" w:customStyle="1" w:styleId="43">
    <w:name w:val="标题 6 字符"/>
    <w:basedOn w:val="25"/>
    <w:link w:val="8"/>
    <w:qFormat/>
    <w:uiPriority w:val="0"/>
    <w:rPr>
      <w:rFonts w:ascii="等线 Light" w:hAnsi="等线 Light" w:eastAsia="等线 Light" w:cs="Times New Roman"/>
      <w:b/>
      <w:bCs/>
      <w:kern w:val="2"/>
      <w:sz w:val="24"/>
      <w:szCs w:val="24"/>
    </w:rPr>
  </w:style>
  <w:style w:type="character" w:customStyle="1" w:styleId="44">
    <w:name w:val="标题 7 字符"/>
    <w:basedOn w:val="25"/>
    <w:link w:val="9"/>
    <w:qFormat/>
    <w:uiPriority w:val="0"/>
    <w:rPr>
      <w:rFonts w:ascii="Calibri" w:hAnsi="Calibri" w:eastAsia="宋体" w:cs="Times New Roman"/>
      <w:b/>
      <w:bCs/>
      <w:kern w:val="2"/>
      <w:sz w:val="24"/>
      <w:szCs w:val="24"/>
    </w:rPr>
  </w:style>
  <w:style w:type="character" w:customStyle="1" w:styleId="45">
    <w:name w:val="标题 8 字符"/>
    <w:basedOn w:val="25"/>
    <w:link w:val="10"/>
    <w:qFormat/>
    <w:uiPriority w:val="0"/>
    <w:rPr>
      <w:rFonts w:ascii="等线 Light" w:hAnsi="等线 Light" w:eastAsia="等线 Light" w:cs="Times New Roman"/>
      <w:kern w:val="2"/>
      <w:sz w:val="24"/>
      <w:szCs w:val="24"/>
    </w:rPr>
  </w:style>
  <w:style w:type="character" w:customStyle="1" w:styleId="46">
    <w:name w:val="正文文本 字符"/>
    <w:basedOn w:val="25"/>
    <w:link w:val="2"/>
    <w:qFormat/>
    <w:uiPriority w:val="0"/>
    <w:rPr>
      <w:rFonts w:ascii="宋体" w:hAnsi="Times New Roman" w:eastAsia="宋体" w:cs="Times New Roman"/>
      <w:sz w:val="21"/>
    </w:rPr>
  </w:style>
  <w:style w:type="paragraph" w:customStyle="1" w:styleId="47">
    <w:name w:val="_Style 42"/>
    <w:basedOn w:val="1"/>
    <w:next w:val="32"/>
    <w:qFormat/>
    <w:uiPriority w:val="34"/>
    <w:pPr>
      <w:ind w:firstLine="420" w:firstLineChars="200"/>
    </w:pPr>
    <w:rPr>
      <w:rFonts w:ascii="Calibri" w:hAnsi="Calibri"/>
    </w:rPr>
  </w:style>
  <w:style w:type="paragraph" w:customStyle="1" w:styleId="48">
    <w:name w:val="Cap_表格正文"/>
    <w:qFormat/>
    <w:uiPriority w:val="0"/>
    <w:pPr>
      <w:spacing w:after="40"/>
    </w:pPr>
    <w:rPr>
      <w:rFonts w:ascii="Arial" w:hAnsi="Arial" w:eastAsia="宋体" w:cs="Arial"/>
      <w:sz w:val="18"/>
      <w:szCs w:val="16"/>
      <w:lang w:val="en-US" w:eastAsia="zh-CN" w:bidi="ar-SA"/>
    </w:rPr>
  </w:style>
  <w:style w:type="table" w:customStyle="1" w:styleId="49">
    <w:name w:val="Table Normal"/>
    <w:unhideWhenUsed/>
    <w:qFormat/>
    <w:uiPriority w:val="0"/>
    <w:tblPr>
      <w:tblCellMar>
        <w:top w:w="0" w:type="dxa"/>
        <w:left w:w="0" w:type="dxa"/>
        <w:bottom w:w="0" w:type="dxa"/>
        <w:right w:w="0" w:type="dxa"/>
      </w:tblCellMar>
    </w:tblPr>
  </w:style>
  <w:style w:type="paragraph" w:customStyle="1" w:styleId="50">
    <w:name w:val="题注1"/>
    <w:basedOn w:val="1"/>
    <w:next w:val="1"/>
    <w:unhideWhenUsed/>
    <w:qFormat/>
    <w:uiPriority w:val="35"/>
    <w:pPr>
      <w:jc w:val="center"/>
    </w:pPr>
    <w:rPr>
      <w:rFonts w:ascii="Calibri" w:hAnsi="Calibri"/>
      <w:szCs w:val="20"/>
    </w:rPr>
  </w:style>
  <w:style w:type="paragraph" w:customStyle="1" w:styleId="51">
    <w:name w:val="Cap_正文"/>
    <w:qFormat/>
    <w:uiPriority w:val="0"/>
    <w:pPr>
      <w:spacing w:after="160" w:line="259" w:lineRule="auto"/>
      <w:ind w:firstLine="200" w:firstLineChars="200"/>
    </w:pPr>
    <w:rPr>
      <w:rFonts w:ascii="Times New Roman" w:hAnsi="Times New Roman" w:eastAsia="宋体" w:cs="Times New Roman"/>
      <w:sz w:val="22"/>
      <w:szCs w:val="24"/>
      <w:lang w:val="en-US" w:eastAsia="en-CA" w:bidi="ar-SA"/>
    </w:rPr>
  </w:style>
  <w:style w:type="paragraph" w:customStyle="1" w:styleId="52">
    <w:name w:val="版本内容字体"/>
    <w:basedOn w:val="1"/>
    <w:qFormat/>
    <w:uiPriority w:val="0"/>
    <w:pPr>
      <w:spacing w:before="100" w:beforeAutospacing="1"/>
      <w:jc w:val="center"/>
    </w:pPr>
    <w:rPr>
      <w:rFonts w:ascii="仿宋_GB2312" w:hAnsi="宋体" w:eastAsia="仿宋_GB2312"/>
      <w:szCs w:val="22"/>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6">
    <w:name w:val="标签"/>
    <w:basedOn w:val="11"/>
    <w:qFormat/>
    <w:uiPriority w:val="0"/>
    <w:pPr>
      <w:tabs>
        <w:tab w:val="left" w:pos="709"/>
      </w:tabs>
      <w:spacing w:line="360" w:lineRule="auto"/>
      <w:ind w:left="708" w:leftChars="295" w:firstLine="0" w:firstLineChars="0"/>
    </w:pPr>
    <w:rPr>
      <w:rFonts w:ascii="宋体" w:hAnsi="宋体"/>
      <w:sz w:val="24"/>
    </w:rPr>
  </w:style>
  <w:style w:type="paragraph" w:customStyle="1" w:styleId="57">
    <w:name w:val="需求书正文"/>
    <w:basedOn w:val="1"/>
    <w:qFormat/>
    <w:uiPriority w:val="0"/>
    <w:pPr>
      <w:spacing w:line="300" w:lineRule="auto"/>
      <w:ind w:left="420" w:leftChars="200" w:firstLine="480" w:firstLineChars="200"/>
    </w:pPr>
    <w:rPr>
      <w:rFonts w:ascii="宋体" w:hAnsi="宋体"/>
      <w:szCs w:val="20"/>
    </w:rPr>
  </w:style>
  <w:style w:type="paragraph" w:customStyle="1" w:styleId="58">
    <w:name w:val="描述"/>
    <w:basedOn w:val="11"/>
    <w:qFormat/>
    <w:uiPriority w:val="0"/>
    <w:pPr>
      <w:spacing w:line="360" w:lineRule="auto"/>
      <w:ind w:left="718" w:firstLine="567" w:firstLineChars="0"/>
    </w:pPr>
    <w:rPr>
      <w:rFonts w:ascii="宋体" w:hAnsi="宋体"/>
      <w:sz w:val="24"/>
    </w:rPr>
  </w:style>
  <w:style w:type="paragraph" w:customStyle="1" w:styleId="59">
    <w:name w:val="一级分类"/>
    <w:basedOn w:val="11"/>
    <w:qFormat/>
    <w:uiPriority w:val="0"/>
    <w:pPr>
      <w:numPr>
        <w:ilvl w:val="0"/>
        <w:numId w:val="1"/>
      </w:numPr>
      <w:tabs>
        <w:tab w:val="left" w:pos="1548"/>
      </w:tabs>
      <w:spacing w:line="360" w:lineRule="auto"/>
      <w:ind w:firstLine="0" w:firstLineChars="0"/>
    </w:pPr>
    <w:rPr>
      <w:rFonts w:ascii="宋体" w:hAnsi="宋体"/>
      <w:sz w:val="24"/>
    </w:rPr>
  </w:style>
  <w:style w:type="paragraph" w:customStyle="1" w:styleId="60">
    <w:name w:val="描述正文"/>
    <w:basedOn w:val="1"/>
    <w:qFormat/>
    <w:uiPriority w:val="0"/>
    <w:pPr>
      <w:ind w:firstLine="567"/>
    </w:pPr>
    <w:rPr>
      <w:rFonts w:ascii="Calibri" w:hAnsi="Calibri"/>
    </w:rPr>
  </w:style>
  <w:style w:type="paragraph" w:customStyle="1" w:styleId="61">
    <w:name w:val="二级分类"/>
    <w:basedOn w:val="1"/>
    <w:qFormat/>
    <w:uiPriority w:val="0"/>
    <w:pPr>
      <w:numPr>
        <w:ilvl w:val="0"/>
        <w:numId w:val="2"/>
      </w:numPr>
      <w:tabs>
        <w:tab w:val="left" w:pos="1555"/>
        <w:tab w:val="clear" w:pos="1548"/>
      </w:tabs>
    </w:pPr>
    <w:rPr>
      <w:rFonts w:ascii="Calibri" w:hAnsi="Calibri"/>
    </w:rPr>
  </w:style>
  <w:style w:type="character" w:customStyle="1" w:styleId="62">
    <w:name w:val="未处理的提及1"/>
    <w:semiHidden/>
    <w:unhideWhenUsed/>
    <w:qFormat/>
    <w:uiPriority w:val="99"/>
    <w:rPr>
      <w:color w:val="605E5C"/>
      <w:shd w:val="clear" w:color="auto" w:fill="E1DFDD"/>
    </w:rPr>
  </w:style>
  <w:style w:type="character" w:customStyle="1" w:styleId="63">
    <w:name w:val="标题 字符"/>
    <w:basedOn w:val="25"/>
    <w:link w:val="19"/>
    <w:qFormat/>
    <w:uiPriority w:val="0"/>
    <w:rPr>
      <w:rFonts w:ascii="等线 Light" w:hAnsi="等线 Light" w:eastAsia="宋体" w:cs="Times New Roman"/>
      <w:b/>
      <w:bCs/>
      <w:kern w:val="2"/>
      <w:sz w:val="32"/>
      <w:szCs w:val="32"/>
    </w:rPr>
  </w:style>
  <w:style w:type="character" w:customStyle="1" w:styleId="64">
    <w:name w:val="正文文本首行缩进 字符"/>
    <w:basedOn w:val="46"/>
    <w:link w:val="21"/>
    <w:semiHidden/>
    <w:qFormat/>
    <w:uiPriority w:val="99"/>
    <w:rPr>
      <w:rFonts w:ascii="宋体" w:hAnsi="Times New Roman" w:eastAsia="宋体" w:cs="Times New Roman"/>
      <w:sz w:val="21"/>
    </w:rPr>
  </w:style>
  <w:style w:type="paragraph" w:customStyle="1" w:styleId="6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6541</Words>
  <Characters>7065</Characters>
  <Lines>56</Lines>
  <Paragraphs>15</Paragraphs>
  <TotalTime>2</TotalTime>
  <ScaleCrop>false</ScaleCrop>
  <LinksUpToDate>false</LinksUpToDate>
  <CharactersWithSpaces>7675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范玲</cp:lastModifiedBy>
  <dcterms:modified xsi:type="dcterms:W3CDTF">2024-06-11T01:38:38Z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66D5FB14E72B44D79192668B7CD2AFAD_13</vt:lpwstr>
  </property>
</Properties>
</file>