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蒙牛乳业2024-2026年度机器设备类润滑油采购项目</w:t>
      </w:r>
    </w:p>
    <w:p>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竞争性谈判信息公告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就蒙牛乳业2024-2026年度机器设备类润滑油采购项目进行竞争性谈判,欢迎符合资格条件的竞谈人参加。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一、项目编号：MNCGJH-20240607-0004</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蒙牛乳业2024-2026年度机器设备类润滑油采购项目</w:t>
      </w:r>
    </w:p>
    <w:p>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kern w:val="0"/>
          <w:sz w:val="28"/>
          <w:szCs w:val="28"/>
        </w:rPr>
        <w:t>项目概况：</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划分原则：根据润滑油的类别进行划分。</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    段：本项目竞争性谈判采购划分为2个标段。每个标段涵盖区域如下：</w:t>
      </w:r>
    </w:p>
    <w:tbl>
      <w:tblPr>
        <w:tblStyle w:val="16"/>
        <w:tblW w:w="8840" w:type="dxa"/>
        <w:jc w:val="center"/>
        <w:tblLayout w:type="autofit"/>
        <w:tblCellMar>
          <w:top w:w="0" w:type="dxa"/>
          <w:left w:w="108" w:type="dxa"/>
          <w:bottom w:w="0" w:type="dxa"/>
          <w:right w:w="108" w:type="dxa"/>
        </w:tblCellMar>
      </w:tblPr>
      <w:tblGrid>
        <w:gridCol w:w="1674"/>
        <w:gridCol w:w="3685"/>
        <w:gridCol w:w="3481"/>
      </w:tblGrid>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标段</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内容</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供货工厂</w:t>
            </w:r>
          </w:p>
        </w:tc>
      </w:tr>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非食品级润滑油</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全国各工厂</w:t>
            </w:r>
          </w:p>
        </w:tc>
      </w:tr>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食品级润滑油</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全国各工厂</w:t>
            </w:r>
          </w:p>
        </w:tc>
      </w:tr>
    </w:tbl>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预成交竞谈人数量：每标段选取1名竞谈人作为成交人，竞谈人必须保证各工厂价格统一，且有能力给蒙牛下属各工厂供货。</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1、竞谈人必须是在中华人民共和国境内注册具有独立法人资格的企业单位，公司注册资金在200万元人民币及以上（外币按注册时汇率计算，成立时间含三年即2021年5月1日前），营业范围包含</w:t>
      </w:r>
      <w:r>
        <w:rPr>
          <w:rFonts w:hint="eastAsia" w:ascii="仿宋_GB2312" w:hAnsi="宋体" w:eastAsia="仿宋_GB2312"/>
          <w:color w:val="000000"/>
          <w:sz w:val="28"/>
          <w:szCs w:val="28"/>
        </w:rPr>
        <w:t>设备类润滑油生产、销售或售后服务，</w:t>
      </w:r>
      <w:r>
        <w:rPr>
          <w:rFonts w:hint="eastAsia" w:ascii="仿宋" w:hAnsi="仿宋" w:eastAsia="仿宋" w:cs="仿宋"/>
          <w:sz w:val="28"/>
          <w:szCs w:val="28"/>
        </w:rPr>
        <w:t>以营业执照为准；</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2、竞谈人须具是设备润滑油行业的专业服务企业，具备润滑油生产、销售或售后服务的能力；有能力履行招标内容要求和提供招标货物及服务的制造商或经销商，若是经销商须</w:t>
      </w:r>
      <w:r>
        <w:rPr>
          <w:rFonts w:hint="eastAsia" w:ascii="仿宋_GB2312" w:hAnsi="宋体" w:eastAsia="仿宋_GB2312"/>
          <w:sz w:val="28"/>
          <w:szCs w:val="28"/>
        </w:rPr>
        <w:t>持有美孚、壳牌、克鲁勃、道达尔、老鹰总部颁发的授权代理证书；（除了提供上述品牌授权证书之外，其他证明文件将被视为无效）</w:t>
      </w:r>
      <w:r>
        <w:rPr>
          <w:rFonts w:hint="eastAsia" w:ascii="仿宋" w:hAnsi="仿宋" w:eastAsia="仿宋" w:cs="仿宋"/>
          <w:sz w:val="28"/>
          <w:szCs w:val="28"/>
        </w:rPr>
        <w:t>；</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3、竞谈人须具是一般纳税人，且能开具13%增值税发票；</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4、竞谈人所投标段如为食品级润滑油，须提供配方符合FDA(美国食品和药品管理局)的证明材料；</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5、竞谈人须具有最近1年任意3个月的依法纳税缴纳证明材料和社保缴纳证明材料；</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6、竞谈人须具有开户行许可证或基本存款账户信息；</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7、本项目竞谈人需具有</w:t>
      </w:r>
      <w:r>
        <w:rPr>
          <w:rFonts w:hint="eastAsia" w:ascii="仿宋_GB2312" w:hAnsi="宋体" w:eastAsia="仿宋_GB2312"/>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8、竞谈人具有2023年第三方财务审计报告或财务报表；</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9、竞谈人未被列入国家企业信用信息公示系统（http://www.gsxt.gov.cn/index.html）严重违法失信企业名单；</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11、本次竞谈不接受联合体竞谈，不允许分包和转包；</w:t>
      </w:r>
    </w:p>
    <w:p>
      <w:pPr>
        <w:pStyle w:val="3"/>
        <w:spacing w:line="360" w:lineRule="auto"/>
        <w:ind w:firstLine="977" w:firstLineChars="349"/>
        <w:rPr>
          <w:rFonts w:ascii="仿宋" w:hAnsi="仿宋" w:eastAsia="仿宋" w:cs="仿宋"/>
          <w:sz w:val="28"/>
          <w:szCs w:val="28"/>
        </w:rPr>
      </w:pPr>
      <w:r>
        <w:rPr>
          <w:rFonts w:hint="eastAsia" w:ascii="仿宋" w:hAnsi="仿宋" w:eastAsia="仿宋" w:cs="仿宋"/>
          <w:sz w:val="28"/>
          <w:szCs w:val="28"/>
        </w:rPr>
        <w:t>12、不接受中粮及蒙牛竞谈人黑名单（以蒙牛集团下发的黑名单为准）的企业参与竞争。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（3）制造商提供具有设备制造和销售能力厂家的设备厂商承诺书，若是经销商提供</w:t>
      </w:r>
      <w:r>
        <w:rPr>
          <w:rFonts w:hint="eastAsia" w:ascii="仿宋_GB2312" w:hAnsi="宋体" w:eastAsia="仿宋_GB2312"/>
          <w:sz w:val="28"/>
          <w:szCs w:val="28"/>
        </w:rPr>
        <w:t>有美孚、壳牌、克鲁勃、道达尔、老鹰总部颁发的授权代理证书；（除了提供上述品牌授权证书之外，其他证明文件将被视为无效）</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（5）提供企业所投标段如为食品级润滑油，须提供配方符合FDA(美国食品和药品管理局)的证明材料；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（8）提供</w:t>
      </w:r>
      <w:r>
        <w:rPr>
          <w:rFonts w:hint="eastAsia" w:ascii="仿宋_GB2312" w:hAnsi="宋体" w:eastAsia="仿宋_GB2312"/>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（11）保密承诺书（附件2）。</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1、报名时间：2024年06月1</w:t>
      </w:r>
      <w:r>
        <w:rPr>
          <w:rFonts w:hint="eastAsia" w:ascii="仿宋" w:hAnsi="仿宋" w:eastAsia="仿宋" w:cs="仿宋"/>
          <w:sz w:val="28"/>
          <w:szCs w:val="28"/>
          <w:lang w:val="en-US" w:eastAsia="zh-CN"/>
        </w:rPr>
        <w:t>3</w:t>
      </w:r>
      <w:r>
        <w:rPr>
          <w:rFonts w:hint="eastAsia" w:ascii="仿宋" w:hAnsi="仿宋" w:eastAsia="仿宋" w:cs="仿宋"/>
          <w:sz w:val="28"/>
          <w:szCs w:val="28"/>
        </w:rPr>
        <w:t>日至2024年06月1</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2、资格预审时间：2024年06月1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日至2024年06月1</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3、谈判文件发售时间：2024年06月</w:t>
      </w:r>
      <w:r>
        <w:rPr>
          <w:rFonts w:hint="eastAsia" w:ascii="仿宋" w:hAnsi="仿宋" w:eastAsia="仿宋" w:cs="仿宋"/>
          <w:sz w:val="28"/>
          <w:szCs w:val="28"/>
          <w:lang w:val="en-US" w:eastAsia="zh-CN"/>
        </w:rPr>
        <w:t>20</w:t>
      </w:r>
      <w:r>
        <w:rPr>
          <w:rFonts w:hint="eastAsia" w:ascii="仿宋" w:hAnsi="仿宋" w:eastAsia="仿宋" w:cs="仿宋"/>
          <w:sz w:val="28"/>
          <w:szCs w:val="28"/>
        </w:rPr>
        <w:t>日至2024年06月2</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rPr>
        <w:t>日19时发售谈判文件，谈判文件每套售价：人民币</w:t>
      </w:r>
      <w:r>
        <w:rPr>
          <w:rFonts w:hint="eastAsia" w:ascii="仿宋" w:hAnsi="仿宋" w:eastAsia="仿宋" w:cs="仿宋"/>
          <w:sz w:val="28"/>
          <w:szCs w:val="28"/>
          <w:u w:val="single"/>
        </w:rPr>
        <w:t>500</w:t>
      </w:r>
      <w:r>
        <w:rPr>
          <w:rFonts w:hint="eastAsia" w:ascii="仿宋" w:hAnsi="仿宋" w:eastAsia="仿宋" w:cs="仿宋"/>
          <w:sz w:val="28"/>
          <w:szCs w:val="28"/>
        </w:rPr>
        <w:t>元/标段（仅支持对公转账），售后不退（汇款后将回执扫描后上传至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银行账号：592120100100098732</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银行行号：309191002120</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4、谈判时间：2024年07月16日09时30分（以发出的谈判文件为准）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联系电话：0471-3957849/4918085分机号：8023</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rPr>
        <w:t>guoyufei@nmghuasheng.com</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郑建东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联系方式：0471-7393642/15034927966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电子邮件：zhengjiandong@mengniu.cn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2024年06月12日</w:t>
      </w: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竞谈人名称：</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竞 谈 人 全 称</w:t>
      </w:r>
      <w:r>
        <w:rPr>
          <w:rFonts w:hint="eastAsia" w:ascii="仿宋" w:hAnsi="仿宋" w:eastAsia="仿宋" w:cs="仿宋"/>
          <w:sz w:val="28"/>
          <w:szCs w:val="28"/>
        </w:rPr>
        <w:t>的法定代表人。</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pPr>
        <w:spacing w:line="360" w:lineRule="auto"/>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sz w:val="24"/>
          <w:shd w:val="clear" w:color="auto" w:fill="FFFFFF"/>
        </w:rPr>
      </w:pPr>
      <w:r>
        <w:rPr>
          <w:rFonts w:hint="eastAsia" w:ascii="仿宋" w:hAnsi="仿宋" w:eastAsia="仿宋" w:cs="仿宋"/>
          <w:i/>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蒙牛乳业2024-2026年度机器设备类润滑油采购项目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pPr>
        <w:spacing w:line="360" w:lineRule="auto"/>
        <w:ind w:firstLine="635" w:firstLineChars="227"/>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pPr>
        <w:pStyle w:val="6"/>
        <w:spacing w:line="360" w:lineRule="auto"/>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pPr>
        <w:pStyle w:val="6"/>
        <w:spacing w:line="360" w:lineRule="auto"/>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pPr>
        <w:pStyle w:val="5"/>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十一、适用法律</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1202"/>
    <w:rsid w:val="00062701"/>
    <w:rsid w:val="00062C5B"/>
    <w:rsid w:val="00071FF1"/>
    <w:rsid w:val="000749D5"/>
    <w:rsid w:val="00075C8C"/>
    <w:rsid w:val="00080606"/>
    <w:rsid w:val="0008086A"/>
    <w:rsid w:val="0009094C"/>
    <w:rsid w:val="000913EC"/>
    <w:rsid w:val="0009391C"/>
    <w:rsid w:val="00095875"/>
    <w:rsid w:val="00096A8F"/>
    <w:rsid w:val="000970B1"/>
    <w:rsid w:val="000A3516"/>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32EB"/>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0D54"/>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602D"/>
    <w:rsid w:val="00977D60"/>
    <w:rsid w:val="0098076B"/>
    <w:rsid w:val="00984ADF"/>
    <w:rsid w:val="0098588E"/>
    <w:rsid w:val="00987953"/>
    <w:rsid w:val="00990506"/>
    <w:rsid w:val="00996760"/>
    <w:rsid w:val="0099751C"/>
    <w:rsid w:val="009A0278"/>
    <w:rsid w:val="009A1E92"/>
    <w:rsid w:val="009A20C5"/>
    <w:rsid w:val="009A3A71"/>
    <w:rsid w:val="009A5DD7"/>
    <w:rsid w:val="009B1F46"/>
    <w:rsid w:val="009B2477"/>
    <w:rsid w:val="009B6FE0"/>
    <w:rsid w:val="009C12DC"/>
    <w:rsid w:val="009C1605"/>
    <w:rsid w:val="009C1806"/>
    <w:rsid w:val="009C3CA9"/>
    <w:rsid w:val="009C40F7"/>
    <w:rsid w:val="009C46EE"/>
    <w:rsid w:val="009C78AB"/>
    <w:rsid w:val="009D10AB"/>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25DB"/>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E6736"/>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47A74"/>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6489</Words>
  <Characters>7010</Characters>
  <Lines>56</Lines>
  <Paragraphs>15</Paragraphs>
  <TotalTime>1</TotalTime>
  <ScaleCrop>false</ScaleCrop>
  <LinksUpToDate>false</LinksUpToDate>
  <CharactersWithSpaces>7683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end～倒计时</cp:lastModifiedBy>
  <dcterms:modified xsi:type="dcterms:W3CDTF">2024-06-11T09:49:26Z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B9C781CF798E4BAB9B3982F0F2FBCF23_13</vt:lpwstr>
  </property>
</Properties>
</file>