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2"/>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蒙牛乳业常温2024年包体贴标设备集中采购项目</w:t>
      </w:r>
    </w:p>
    <w:p>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内蒙古蒙牛乳业(集团)股份有限公司，现对蒙牛乳业常温2024年包体贴标设备集中采购项目询比价招标，欢迎符合资格条件的投标人参加。</w:t>
      </w:r>
    </w:p>
    <w:p>
      <w:pPr>
        <w:numPr>
          <w:ilvl w:val="0"/>
          <w:numId w:val="1"/>
        </w:numPr>
        <w:adjustRightInd w:val="0"/>
        <w:snapToGrid w:val="0"/>
        <w:spacing w:line="360" w:lineRule="auto"/>
        <w:ind w:firstLine="482" w:firstLineChars="200"/>
        <w:rPr>
          <w:rFonts w:hint="eastAsia" w:ascii="仿宋" w:hAnsi="仿宋" w:eastAsia="仿宋" w:cs="仿宋"/>
          <w:b/>
          <w:bCs/>
          <w:color w:val="C00000"/>
          <w:sz w:val="24"/>
        </w:rPr>
      </w:pPr>
      <w:r>
        <w:rPr>
          <w:rFonts w:hint="eastAsia" w:ascii="仿宋" w:hAnsi="仿宋" w:eastAsia="仿宋" w:cs="仿宋"/>
          <w:b/>
          <w:bCs/>
          <w:sz w:val="24"/>
        </w:rPr>
        <w:t>项目编号：</w:t>
      </w:r>
      <w:r>
        <w:rPr>
          <w:rFonts w:hint="eastAsia" w:ascii="仿宋" w:hAnsi="仿宋" w:eastAsia="仿宋"/>
          <w:sz w:val="24"/>
          <w:lang w:val="en-US" w:eastAsia="zh-CN"/>
        </w:rPr>
        <w:t>MNCGJH-20240611-0003</w:t>
      </w:r>
    </w:p>
    <w:p>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lang w:val="en-US" w:eastAsia="zh-CN"/>
        </w:rPr>
        <w:t>蒙牛乳业常温2024年包体贴标设备集中采购项目</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我公司对常温各工厂(含加工地)项目中柔性包体贴标设备进行询比价，询比价范围包含贴标设备设计、制造、运输、安装、调试等内容。根据现场指定空间的安排布局，要求结构简洁，避免采用庞大繁杂配置；设备应具备良好的维护性和可靠性，供应商应提供设备的安装、调试和培训服务，并能够提供及时的技术支持和售后服务。</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项目涵盖范围：配套设备包括整体对接设计、制造、运输、对接改造及安装（含现场卸货、搬运、就位）、调试、售后服务、保险和税费等全过程的费用。</w:t>
      </w:r>
    </w:p>
    <w:p>
      <w:pPr>
        <w:numPr>
          <w:ilvl w:val="0"/>
          <w:numId w:val="0"/>
        </w:num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土建及能源范围：</w:t>
      </w:r>
    </w:p>
    <w:p>
      <w:pPr>
        <w:numPr>
          <w:ilvl w:val="0"/>
          <w:numId w:val="2"/>
        </w:numPr>
        <w:spacing w:line="360"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竞价方负责将电缆及压缩空气管道连接到预留接口位置，涉及材料由投标方负责提供，预留接口位置由甲方指定，接口位置距离新增设备位置电缆≤50米，压缩空气管路≤30米（含不锈钢线槽、镀锌管等，具体与现场已有配套一致）；</w:t>
      </w:r>
    </w:p>
    <w:p>
      <w:pPr>
        <w:numPr>
          <w:ilvl w:val="0"/>
          <w:numId w:val="2"/>
        </w:numPr>
        <w:spacing w:line="360"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项目涉及土建费用由招标人负责完成</w:t>
      </w:r>
    </w:p>
    <w:p>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 xml:space="preserve">四、资格要求： </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竞价人须在中华人民共和国境内注册并具有独立法人资格，</w:t>
      </w:r>
      <w:r>
        <w:rPr>
          <w:rFonts w:hint="eastAsia" w:ascii="仿宋" w:hAnsi="仿宋" w:eastAsia="仿宋" w:cs="仿宋"/>
          <w:sz w:val="24"/>
          <w:szCs w:val="24"/>
          <w:highlight w:val="none"/>
          <w:lang w:val="en-US" w:eastAsia="zh-CN"/>
        </w:rPr>
        <w:t>以企业营业执照为准；</w:t>
      </w:r>
      <w:r>
        <w:rPr>
          <w:rFonts w:hint="eastAsia" w:ascii="仿宋" w:hAnsi="仿宋" w:eastAsia="仿宋" w:cs="仿宋"/>
          <w:color w:val="000000"/>
          <w:sz w:val="24"/>
          <w:lang w:val="en-US" w:eastAsia="zh-CN"/>
        </w:rPr>
        <w:t>且具有有效的</w:t>
      </w:r>
      <w:r>
        <w:rPr>
          <w:rFonts w:hint="eastAsia" w:ascii="仿宋" w:hAnsi="仿宋" w:eastAsia="仿宋" w:cs="仿宋"/>
          <w:sz w:val="24"/>
          <w:szCs w:val="24"/>
          <w:lang w:val="en-US" w:eastAsia="zh-CN"/>
        </w:rPr>
        <w:t>开户行许可证</w:t>
      </w:r>
      <w:r>
        <w:rPr>
          <w:rFonts w:hint="eastAsia" w:ascii="仿宋" w:hAnsi="仿宋" w:eastAsia="仿宋" w:cs="仿宋"/>
          <w:color w:val="000000"/>
          <w:sz w:val="24"/>
          <w:lang w:val="en-US" w:eastAsia="zh-CN"/>
        </w:rPr>
        <w:t>。</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竞价人须具有招标设备的生产制造或代理销售能力的设备厂商。</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（3）竞价人近三年3个及以上类似项目业绩（以合同为准）</w:t>
      </w:r>
    </w:p>
    <w:p>
      <w:pPr>
        <w:spacing w:line="360" w:lineRule="auto"/>
        <w:ind w:firstLine="480" w:firstLineChars="200"/>
        <w:rPr>
          <w:rFonts w:hint="eastAsia" w:ascii="仿宋" w:hAnsi="仿宋" w:eastAsia="仿宋"/>
          <w:sz w:val="24"/>
          <w:highlight w:val="none"/>
          <w:lang w:val="en-US" w:eastAsia="zh-CN"/>
        </w:rPr>
      </w:pPr>
      <w:r>
        <w:rPr>
          <w:rFonts w:hint="eastAsia" w:ascii="仿宋" w:hAnsi="仿宋" w:eastAsia="仿宋"/>
          <w:sz w:val="24"/>
          <w:lang w:val="en-US" w:eastAsia="zh-CN"/>
        </w:rPr>
        <w:t>（</w:t>
      </w:r>
      <w:r>
        <w:rPr>
          <w:rFonts w:hint="eastAsia" w:ascii="仿宋" w:hAnsi="仿宋" w:eastAsia="仿宋"/>
          <w:sz w:val="24"/>
          <w:highlight w:val="none"/>
          <w:lang w:val="en-US" w:eastAsia="zh-CN"/>
        </w:rPr>
        <w:t>4）竞价人须具有一般纳税人认定资格。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sz w:val="24"/>
          <w:lang w:val="en-US" w:eastAsia="zh-CN"/>
        </w:rPr>
      </w:pPr>
      <w:r>
        <w:rPr>
          <w:rFonts w:hint="eastAsia" w:ascii="仿宋" w:hAnsi="仿宋" w:eastAsia="仿宋"/>
          <w:sz w:val="24"/>
          <w:highlight w:val="none"/>
        </w:rPr>
        <w:t>（</w:t>
      </w:r>
      <w:r>
        <w:rPr>
          <w:rFonts w:hint="eastAsia" w:ascii="仿宋" w:hAnsi="仿宋" w:eastAsia="仿宋"/>
          <w:sz w:val="24"/>
          <w:highlight w:val="none"/>
          <w:lang w:val="en-US" w:eastAsia="zh-CN"/>
        </w:rPr>
        <w:t>5）竞价人须具有良好的商业信誉和财务状况，以近三年（2021-2023年度）财务报表</w:t>
      </w:r>
      <w:r>
        <w:rPr>
          <w:rFonts w:hint="default" w:ascii="仿宋" w:hAnsi="仿宋" w:eastAsia="仿宋"/>
          <w:sz w:val="24"/>
          <w:highlight w:val="none"/>
          <w:lang w:val="en-US" w:eastAsia="zh-CN"/>
        </w:rPr>
        <w:t>或第三方财务审计报告</w:t>
      </w:r>
      <w:r>
        <w:rPr>
          <w:rFonts w:hint="eastAsia" w:ascii="仿宋" w:hAnsi="仿宋" w:eastAsia="仿宋"/>
          <w:sz w:val="24"/>
          <w:highlight w:val="none"/>
          <w:lang w:val="en-US" w:eastAsia="zh-CN"/>
        </w:rPr>
        <w:t>为准；</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（6）竞价人在“中华人民共和国应急管理部（https://www.mem.gov.cn/）”近一年内无公开曝光的安全事件；</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7</w:t>
      </w:r>
      <w:r>
        <w:rPr>
          <w:rFonts w:hint="eastAsia" w:ascii="仿宋" w:hAnsi="仿宋" w:eastAsia="仿宋"/>
          <w:sz w:val="24"/>
          <w:lang w:eastAsia="zh-CN"/>
        </w:rPr>
        <w:t>）</w:t>
      </w:r>
      <w:r>
        <w:rPr>
          <w:rFonts w:hint="eastAsia" w:ascii="仿宋" w:hAnsi="仿宋" w:eastAsia="仿宋"/>
          <w:sz w:val="24"/>
        </w:rPr>
        <w:t>竞</w:t>
      </w:r>
      <w:r>
        <w:rPr>
          <w:rFonts w:hint="eastAsia" w:ascii="仿宋" w:hAnsi="仿宋" w:eastAsia="仿宋"/>
          <w:sz w:val="24"/>
          <w:lang w:val="en-US" w:eastAsia="zh-CN"/>
        </w:rPr>
        <w:t>价</w:t>
      </w:r>
      <w:r>
        <w:rPr>
          <w:rFonts w:hint="eastAsia" w:ascii="仿宋" w:hAnsi="仿宋" w:eastAsia="仿宋"/>
          <w:sz w:val="24"/>
        </w:rPr>
        <w:t>人未被列入国家企业信用信息公示系统（http://www.gsxt.gov.cn/index.html）严重违法失信企业名单。</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竞谈人参与投标。</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）本项目不接受联合体投标。</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）不接受中粮及蒙牛投标人黑名单（以蒙牛集团招投标管理部下发的黑名单为准）的企业参与竞争。</w:t>
      </w:r>
    </w:p>
    <w:p>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rPr>
        <w:t>（1）提供有效的营业执照（副本）；有效的开户行许可证/基本存款证明材料</w:t>
      </w:r>
      <w:r>
        <w:rPr>
          <w:rFonts w:hint="eastAsia" w:ascii="仿宋" w:hAnsi="仿宋" w:eastAsia="仿宋" w:cs="仿宋"/>
          <w:color w:val="000000"/>
          <w:sz w:val="24"/>
          <w:lang w:eastAsia="zh-CN"/>
        </w:rPr>
        <w:t>。</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（2）法定代表人证明书或授权委托书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附件1</w:t>
      </w:r>
      <w:r>
        <w:rPr>
          <w:rFonts w:hint="eastAsia" w:ascii="仿宋" w:hAnsi="仿宋" w:eastAsia="仿宋" w:cs="仿宋"/>
          <w:color w:val="000000"/>
          <w:sz w:val="24"/>
          <w:lang w:eastAsia="zh-CN"/>
        </w:rPr>
        <w:t>）</w:t>
      </w:r>
      <w:r>
        <w:rPr>
          <w:rFonts w:hint="eastAsia" w:ascii="仿宋" w:hAnsi="仿宋" w:eastAsia="仿宋" w:cs="仿宋"/>
          <w:color w:val="000000"/>
          <w:sz w:val="24"/>
        </w:rPr>
        <w:t>。</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（3）竞</w:t>
      </w:r>
      <w:r>
        <w:rPr>
          <w:rFonts w:hint="eastAsia" w:ascii="仿宋" w:hAnsi="仿宋" w:eastAsia="仿宋" w:cs="仿宋"/>
          <w:color w:val="000000"/>
          <w:sz w:val="24"/>
          <w:lang w:val="en-US" w:eastAsia="zh-CN"/>
        </w:rPr>
        <w:t>价</w:t>
      </w:r>
      <w:r>
        <w:rPr>
          <w:rFonts w:hint="eastAsia" w:ascii="仿宋" w:hAnsi="仿宋" w:eastAsia="仿宋" w:cs="仿宋"/>
          <w:color w:val="000000"/>
          <w:sz w:val="24"/>
        </w:rPr>
        <w:t>人近三年3个及以上类似项目业绩（以合同为准）</w:t>
      </w:r>
      <w:r>
        <w:rPr>
          <w:rFonts w:hint="eastAsia" w:ascii="仿宋" w:hAnsi="仿宋" w:eastAsia="仿宋" w:cs="仿宋"/>
          <w:color w:val="000000"/>
          <w:sz w:val="24"/>
          <w:lang w:eastAsia="zh-CN"/>
        </w:rPr>
        <w:t>。</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（4）具有投标人须具有招标设备的生产制造或代理销售能力的设备厂商。</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具13</w:t>
      </w:r>
      <w:r>
        <w:rPr>
          <w:rFonts w:hint="eastAsia" w:ascii="仿宋" w:hAnsi="仿宋" w:eastAsia="仿宋" w:cs="仿宋"/>
          <w:color w:val="000000"/>
          <w:sz w:val="24"/>
        </w:rPr>
        <w:t>%增值税发票的资格，提供一般纳税人认定资格证明材料。企业最近1年任意3个月的依法纳税缴纳证明材料和社保缴纳证明</w:t>
      </w:r>
      <w:r>
        <w:rPr>
          <w:rFonts w:hint="eastAsia" w:ascii="仿宋" w:hAnsi="仿宋" w:eastAsia="仿宋" w:cs="仿宋"/>
          <w:color w:val="000000"/>
          <w:sz w:val="24"/>
          <w:lang w:val="en-US" w:eastAsia="zh-CN"/>
        </w:rPr>
        <w:t>材料。</w:t>
      </w:r>
    </w:p>
    <w:p>
      <w:pPr>
        <w:pStyle w:val="23"/>
        <w:numPr>
          <w:ilvl w:val="0"/>
          <w:numId w:val="0"/>
        </w:numPr>
        <w:tabs>
          <w:tab w:val="left" w:pos="993"/>
          <w:tab w:val="left" w:pos="1134"/>
        </w:tabs>
        <w:adjustRightInd w:val="0"/>
        <w:snapToGrid w:val="0"/>
        <w:spacing w:line="360" w:lineRule="auto"/>
        <w:ind w:left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（6）提供2021至2023年</w:t>
      </w:r>
      <w:r>
        <w:rPr>
          <w:rFonts w:hint="default" w:ascii="仿宋" w:hAnsi="仿宋" w:eastAsia="仿宋" w:cs="仿宋"/>
          <w:color w:val="000000"/>
          <w:sz w:val="24"/>
          <w:highlight w:val="none"/>
          <w:lang w:eastAsia="zh-CN"/>
        </w:rPr>
        <w:t>财务报表或</w:t>
      </w:r>
      <w:r>
        <w:rPr>
          <w:rFonts w:hint="eastAsia" w:ascii="仿宋" w:hAnsi="仿宋" w:eastAsia="仿宋" w:cs="仿宋"/>
          <w:color w:val="000000"/>
          <w:sz w:val="24"/>
          <w:highlight w:val="none"/>
          <w:lang w:val="en-US" w:eastAsia="zh-CN"/>
        </w:rPr>
        <w:t>经第三方审计的财务报告</w:t>
      </w:r>
      <w:bookmarkStart w:id="1" w:name="_GoBack"/>
      <w:bookmarkEnd w:id="1"/>
      <w:r>
        <w:rPr>
          <w:rFonts w:hint="eastAsia" w:ascii="仿宋" w:hAnsi="仿宋" w:eastAsia="仿宋" w:cs="仿宋"/>
          <w:color w:val="000000"/>
          <w:sz w:val="24"/>
          <w:highlight w:val="none"/>
          <w:lang w:val="en-US" w:eastAsia="zh-CN"/>
        </w:rPr>
        <w:t>（包含资产负债表、利润表、现金流量表）</w:t>
      </w:r>
    </w:p>
    <w:p>
      <w:pPr>
        <w:pStyle w:val="23"/>
        <w:numPr>
          <w:ilvl w:val="0"/>
          <w:numId w:val="0"/>
        </w:numPr>
        <w:tabs>
          <w:tab w:val="left" w:pos="993"/>
          <w:tab w:val="left" w:pos="1134"/>
        </w:tabs>
        <w:adjustRightInd w:val="0"/>
        <w:snapToGrid w:val="0"/>
        <w:spacing w:line="360" w:lineRule="auto"/>
        <w:ind w:left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）提供在“中华人民共和国应急管理部（https://www.mem.gov.cn/）”近一年内无公开曝光的安全事件证明材料；</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w:t>
      </w:r>
      <w:r>
        <w:rPr>
          <w:rFonts w:hint="eastAsia" w:ascii="仿宋" w:hAnsi="仿宋" w:eastAsia="仿宋" w:cs="仿宋"/>
          <w:sz w:val="24"/>
          <w:szCs w:val="24"/>
          <w:lang w:val="en-US" w:eastAsia="zh-CN"/>
        </w:rPr>
        <w:t>提供潜在竞价单位报名提供信息表（附件2）</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（10）提供保密承诺书（附件3）</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pPr>
        <w:adjustRightInd w:val="0"/>
        <w:snapToGrid w:val="0"/>
        <w:spacing w:line="360" w:lineRule="auto"/>
        <w:ind w:firstLine="480" w:firstLineChars="200"/>
        <w:jc w:val="left"/>
        <w:rPr>
          <w:rStyle w:val="18"/>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15</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9时30分</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r>
        <w:rPr>
          <w:rFonts w:hint="eastAsia" w:ascii="仿宋" w:hAnsi="仿宋" w:eastAsia="仿宋" w:cs="仿宋"/>
          <w:sz w:val="24"/>
          <w:lang w:eastAsia="zh-CN"/>
        </w:rPr>
        <w:t>；</w:t>
      </w:r>
    </w:p>
    <w:p>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6</w:t>
      </w:r>
      <w:r>
        <w:rPr>
          <w:rFonts w:hint="eastAsia" w:ascii="仿宋" w:hAnsi="仿宋" w:eastAsia="仿宋" w:cs="仿宋"/>
          <w:sz w:val="24"/>
        </w:rPr>
        <w:t>月</w:t>
      </w:r>
      <w:r>
        <w:rPr>
          <w:rFonts w:hint="eastAsia" w:ascii="仿宋" w:hAnsi="仿宋" w:eastAsia="仿宋" w:cs="仿宋"/>
          <w:sz w:val="24"/>
          <w:u w:val="single"/>
          <w:lang w:val="en-US" w:eastAsia="zh-CN"/>
        </w:rPr>
        <w:t>21</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人:郑建东                        </w:t>
      </w:r>
    </w:p>
    <w:p>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联系方式：0471-7393642/15034927966</w:t>
      </w:r>
    </w:p>
    <w:p>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电子邮件：zhengjiandong@mengniu.cn</w:t>
      </w:r>
    </w:p>
    <w:p>
      <w:pPr>
        <w:pStyle w:val="2"/>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2.保密承诺书</w:t>
      </w:r>
    </w:p>
    <w:p>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ascii="仿宋" w:hAnsi="仿宋" w:eastAsia="仿宋" w:cs="仿宋"/>
          <w:color w:val="000000"/>
          <w:sz w:val="24"/>
        </w:rPr>
        <w:t>1</w:t>
      </w:r>
      <w:r>
        <w:rPr>
          <w:rFonts w:hint="eastAsia" w:ascii="仿宋" w:hAnsi="仿宋" w:eastAsia="仿宋" w:cs="仿宋"/>
          <w:color w:val="000000"/>
          <w:sz w:val="24"/>
          <w:lang w:val="en-US" w:eastAsia="zh-CN"/>
        </w:rPr>
        <w:t>1</w:t>
      </w:r>
      <w:r>
        <w:rPr>
          <w:rFonts w:hint="eastAsia" w:ascii="仿宋" w:hAnsi="仿宋" w:eastAsia="仿宋" w:cs="仿宋"/>
          <w:color w:val="000000"/>
          <w:sz w:val="24"/>
        </w:rPr>
        <w:t>日</w:t>
      </w:r>
      <w:r>
        <w:rPr>
          <w:rFonts w:ascii="仿宋_GB2312" w:hAnsi="宋体" w:eastAsia="仿宋_GB2312" w:cs="仿宋"/>
          <w:sz w:val="28"/>
          <w:szCs w:val="28"/>
        </w:rPr>
        <w:br w:type="page"/>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pPr>
        <w:adjustRightInd w:val="0"/>
        <w:snapToGrid w:val="0"/>
        <w:spacing w:line="360" w:lineRule="auto"/>
        <w:ind w:firstLine="482" w:firstLineChars="200"/>
        <w:jc w:val="center"/>
        <w:rPr>
          <w:rFonts w:ascii="仿宋" w:hAnsi="仿宋" w:eastAsia="仿宋" w:cs="宋体"/>
          <w:b/>
          <w:sz w:val="24"/>
        </w:rPr>
      </w:pP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pPr>
        <w:adjustRightInd w:val="0"/>
        <w:snapToGrid w:val="0"/>
        <w:spacing w:line="360" w:lineRule="auto"/>
        <w:ind w:firstLine="480" w:firstLineChars="200"/>
        <w:jc w:val="right"/>
        <w:rPr>
          <w:rFonts w:ascii="仿宋" w:hAnsi="仿宋" w:eastAsia="仿宋" w:cs="宋体"/>
          <w:sz w:val="24"/>
        </w:rPr>
      </w:pP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2" w:firstLineChars="200"/>
        <w:rPr>
          <w:rFonts w:ascii="仿宋" w:hAnsi="仿宋" w:eastAsia="仿宋" w:cs="宋体"/>
          <w:b/>
          <w:kern w:val="0"/>
          <w:sz w:val="24"/>
        </w:rPr>
      </w:pPr>
    </w:p>
    <w:p>
      <w:pPr>
        <w:adjustRightInd w:val="0"/>
        <w:snapToGrid w:val="0"/>
        <w:spacing w:line="360" w:lineRule="auto"/>
        <w:ind w:firstLine="482" w:firstLineChars="200"/>
        <w:rPr>
          <w:rFonts w:ascii="仿宋" w:hAnsi="仿宋" w:eastAsia="仿宋" w:cs="宋体"/>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r>
    </w:tbl>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pPr>
        <w:adjustRightInd w:val="0"/>
        <w:snapToGrid w:val="0"/>
        <w:spacing w:line="360" w:lineRule="auto"/>
        <w:ind w:firstLine="480" w:firstLineChars="200"/>
        <w:jc w:val="center"/>
        <w:rPr>
          <w:rFonts w:ascii="仿宋" w:hAnsi="仿宋" w:eastAsia="仿宋" w:cs="宋体"/>
          <w:color w:val="000000"/>
          <w:sz w:val="24"/>
        </w:rPr>
      </w:pP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pPr>
        <w:pStyle w:val="2"/>
        <w:snapToGrid w:val="0"/>
        <w:spacing w:line="360" w:lineRule="auto"/>
        <w:ind w:firstLine="480" w:firstLineChars="200"/>
      </w:pPr>
    </w:p>
    <w:p>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9B31F"/>
    <w:multiLevelType w:val="singleLevel"/>
    <w:tmpl w:val="3309B31F"/>
    <w:lvl w:ilvl="0" w:tentative="0">
      <w:start w:val="1"/>
      <w:numFmt w:val="chineseCounting"/>
      <w:suff w:val="nothing"/>
      <w:lvlText w:val="%1、"/>
      <w:lvlJc w:val="left"/>
      <w:rPr>
        <w:rFonts w:hint="eastAsia"/>
      </w:rPr>
    </w:lvl>
  </w:abstractNum>
  <w:abstractNum w:abstractNumId="1">
    <w:nsid w:val="3C5F235A"/>
    <w:multiLevelType w:val="singleLevel"/>
    <w:tmpl w:val="3C5F235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253AFD"/>
    <w:rsid w:val="03451AAA"/>
    <w:rsid w:val="03C97118"/>
    <w:rsid w:val="044E74E5"/>
    <w:rsid w:val="04502784"/>
    <w:rsid w:val="0465519A"/>
    <w:rsid w:val="04883557"/>
    <w:rsid w:val="05453FE3"/>
    <w:rsid w:val="06334B96"/>
    <w:rsid w:val="069F7723"/>
    <w:rsid w:val="06E17D3B"/>
    <w:rsid w:val="08DC0076"/>
    <w:rsid w:val="08EE6E99"/>
    <w:rsid w:val="08F8460F"/>
    <w:rsid w:val="09322AD0"/>
    <w:rsid w:val="09F14739"/>
    <w:rsid w:val="0A544CC8"/>
    <w:rsid w:val="0A9C0D50"/>
    <w:rsid w:val="0C3C645E"/>
    <w:rsid w:val="0C550884"/>
    <w:rsid w:val="0E3A41D5"/>
    <w:rsid w:val="0E4F7C80"/>
    <w:rsid w:val="0E7E2907"/>
    <w:rsid w:val="0ED14B39"/>
    <w:rsid w:val="1065381B"/>
    <w:rsid w:val="117417AC"/>
    <w:rsid w:val="11B61DC5"/>
    <w:rsid w:val="11D54318"/>
    <w:rsid w:val="12B10F0A"/>
    <w:rsid w:val="12BC53F2"/>
    <w:rsid w:val="13FB266D"/>
    <w:rsid w:val="14CD18FF"/>
    <w:rsid w:val="15BC4EDD"/>
    <w:rsid w:val="16270D53"/>
    <w:rsid w:val="169A4A7C"/>
    <w:rsid w:val="16AD3796"/>
    <w:rsid w:val="16AD40CA"/>
    <w:rsid w:val="176B64B7"/>
    <w:rsid w:val="17F56492"/>
    <w:rsid w:val="18080797"/>
    <w:rsid w:val="18541FF6"/>
    <w:rsid w:val="189A0E05"/>
    <w:rsid w:val="18D019BE"/>
    <w:rsid w:val="1910625E"/>
    <w:rsid w:val="192F4936"/>
    <w:rsid w:val="19470720"/>
    <w:rsid w:val="19520625"/>
    <w:rsid w:val="1A3664FF"/>
    <w:rsid w:val="1AE14E38"/>
    <w:rsid w:val="1C87536A"/>
    <w:rsid w:val="1C8B27CB"/>
    <w:rsid w:val="1E4D2F75"/>
    <w:rsid w:val="1EC51899"/>
    <w:rsid w:val="1EEB051F"/>
    <w:rsid w:val="1F5A46D7"/>
    <w:rsid w:val="20E029BA"/>
    <w:rsid w:val="2136082C"/>
    <w:rsid w:val="216B5464"/>
    <w:rsid w:val="218E2416"/>
    <w:rsid w:val="22462CF1"/>
    <w:rsid w:val="22F17100"/>
    <w:rsid w:val="23963804"/>
    <w:rsid w:val="23CD36CA"/>
    <w:rsid w:val="246838A5"/>
    <w:rsid w:val="24E16D01"/>
    <w:rsid w:val="26051DD8"/>
    <w:rsid w:val="26A742FB"/>
    <w:rsid w:val="26C50688"/>
    <w:rsid w:val="27A504B9"/>
    <w:rsid w:val="281F64BE"/>
    <w:rsid w:val="28AF1B3F"/>
    <w:rsid w:val="2ADC5A66"/>
    <w:rsid w:val="2AE53E37"/>
    <w:rsid w:val="2AEB2687"/>
    <w:rsid w:val="2B41674B"/>
    <w:rsid w:val="2C597D1A"/>
    <w:rsid w:val="2CB633C0"/>
    <w:rsid w:val="2CD97D9B"/>
    <w:rsid w:val="2D0D38B7"/>
    <w:rsid w:val="2D70346D"/>
    <w:rsid w:val="2E450A7B"/>
    <w:rsid w:val="2ECC6F5D"/>
    <w:rsid w:val="2F0F2854"/>
    <w:rsid w:val="2F394933"/>
    <w:rsid w:val="2F5F53F2"/>
    <w:rsid w:val="2FB219C5"/>
    <w:rsid w:val="2FC4548E"/>
    <w:rsid w:val="30316D8E"/>
    <w:rsid w:val="30797C15"/>
    <w:rsid w:val="30FD3064"/>
    <w:rsid w:val="32AB3B37"/>
    <w:rsid w:val="32CC5CE6"/>
    <w:rsid w:val="336010C7"/>
    <w:rsid w:val="33EF4785"/>
    <w:rsid w:val="34420173"/>
    <w:rsid w:val="34DF325D"/>
    <w:rsid w:val="35700359"/>
    <w:rsid w:val="36945B6D"/>
    <w:rsid w:val="37230CDD"/>
    <w:rsid w:val="373D2F9B"/>
    <w:rsid w:val="376F6164"/>
    <w:rsid w:val="39072D82"/>
    <w:rsid w:val="3A40479E"/>
    <w:rsid w:val="3B751B77"/>
    <w:rsid w:val="3C451CCE"/>
    <w:rsid w:val="3D0A2E41"/>
    <w:rsid w:val="3D1C2700"/>
    <w:rsid w:val="3D682A74"/>
    <w:rsid w:val="3DBD9E4E"/>
    <w:rsid w:val="3E703177"/>
    <w:rsid w:val="3F023982"/>
    <w:rsid w:val="3FA72E90"/>
    <w:rsid w:val="3FB103B9"/>
    <w:rsid w:val="3FCE0156"/>
    <w:rsid w:val="403F2E01"/>
    <w:rsid w:val="404B6A21"/>
    <w:rsid w:val="408504E1"/>
    <w:rsid w:val="416A1E90"/>
    <w:rsid w:val="41F45E6E"/>
    <w:rsid w:val="422D6421"/>
    <w:rsid w:val="4234249A"/>
    <w:rsid w:val="4235270E"/>
    <w:rsid w:val="43196087"/>
    <w:rsid w:val="43FFAC88"/>
    <w:rsid w:val="44177434"/>
    <w:rsid w:val="44450C02"/>
    <w:rsid w:val="44A14E43"/>
    <w:rsid w:val="451261D7"/>
    <w:rsid w:val="459F48C9"/>
    <w:rsid w:val="462A56D0"/>
    <w:rsid w:val="46663A77"/>
    <w:rsid w:val="466C6651"/>
    <w:rsid w:val="47AA76FA"/>
    <w:rsid w:val="47FE6A89"/>
    <w:rsid w:val="489F59EF"/>
    <w:rsid w:val="49014546"/>
    <w:rsid w:val="491403D7"/>
    <w:rsid w:val="498B355B"/>
    <w:rsid w:val="499E503D"/>
    <w:rsid w:val="49EE4216"/>
    <w:rsid w:val="49EE6966"/>
    <w:rsid w:val="4A4E3F1F"/>
    <w:rsid w:val="4B4D185C"/>
    <w:rsid w:val="4B6F6C84"/>
    <w:rsid w:val="4C3843DE"/>
    <w:rsid w:val="4C87625C"/>
    <w:rsid w:val="4CFB27A6"/>
    <w:rsid w:val="4D2B4E39"/>
    <w:rsid w:val="4D371A30"/>
    <w:rsid w:val="4DAD1CF2"/>
    <w:rsid w:val="4E155DBA"/>
    <w:rsid w:val="4E5B34FC"/>
    <w:rsid w:val="4EAC05F9"/>
    <w:rsid w:val="505C17AE"/>
    <w:rsid w:val="51695F30"/>
    <w:rsid w:val="51C504A8"/>
    <w:rsid w:val="52481FEA"/>
    <w:rsid w:val="53034162"/>
    <w:rsid w:val="53114AD1"/>
    <w:rsid w:val="53A25729"/>
    <w:rsid w:val="53D96ADC"/>
    <w:rsid w:val="54354CE5"/>
    <w:rsid w:val="54436F0C"/>
    <w:rsid w:val="54912CC5"/>
    <w:rsid w:val="54E51D72"/>
    <w:rsid w:val="55F0232F"/>
    <w:rsid w:val="565F1AE4"/>
    <w:rsid w:val="56723AD9"/>
    <w:rsid w:val="56794E67"/>
    <w:rsid w:val="571E7928"/>
    <w:rsid w:val="57250B4B"/>
    <w:rsid w:val="57F03A6B"/>
    <w:rsid w:val="58312F5B"/>
    <w:rsid w:val="589A46D0"/>
    <w:rsid w:val="58D13301"/>
    <w:rsid w:val="58F702C5"/>
    <w:rsid w:val="59000ADB"/>
    <w:rsid w:val="59E7658C"/>
    <w:rsid w:val="5A5D2E14"/>
    <w:rsid w:val="5AB970BF"/>
    <w:rsid w:val="5AC661A1"/>
    <w:rsid w:val="5AFC6067"/>
    <w:rsid w:val="5CB00EB7"/>
    <w:rsid w:val="5E2F5076"/>
    <w:rsid w:val="5E640DD4"/>
    <w:rsid w:val="5E8F4829"/>
    <w:rsid w:val="5EA306D2"/>
    <w:rsid w:val="5F4F39F8"/>
    <w:rsid w:val="5FD3138A"/>
    <w:rsid w:val="60483AFC"/>
    <w:rsid w:val="61474AD9"/>
    <w:rsid w:val="61932B55"/>
    <w:rsid w:val="61B825BC"/>
    <w:rsid w:val="620F608F"/>
    <w:rsid w:val="6477050C"/>
    <w:rsid w:val="64C8078E"/>
    <w:rsid w:val="65534AD5"/>
    <w:rsid w:val="65B9273D"/>
    <w:rsid w:val="65DD0843"/>
    <w:rsid w:val="666F7D4A"/>
    <w:rsid w:val="670818F0"/>
    <w:rsid w:val="675D1C3B"/>
    <w:rsid w:val="67F70082"/>
    <w:rsid w:val="680B6E70"/>
    <w:rsid w:val="680C1E5E"/>
    <w:rsid w:val="685802EC"/>
    <w:rsid w:val="68673265"/>
    <w:rsid w:val="688F59F4"/>
    <w:rsid w:val="68F05128"/>
    <w:rsid w:val="69C62E3B"/>
    <w:rsid w:val="69FB573C"/>
    <w:rsid w:val="6A321963"/>
    <w:rsid w:val="6AF9611F"/>
    <w:rsid w:val="6BE846BF"/>
    <w:rsid w:val="6CA02C98"/>
    <w:rsid w:val="6CB53614"/>
    <w:rsid w:val="6CED5810"/>
    <w:rsid w:val="6CED5D11"/>
    <w:rsid w:val="6E027099"/>
    <w:rsid w:val="6E4E32F8"/>
    <w:rsid w:val="6F01059C"/>
    <w:rsid w:val="6F7BD96B"/>
    <w:rsid w:val="715220E5"/>
    <w:rsid w:val="716562BC"/>
    <w:rsid w:val="718C28F0"/>
    <w:rsid w:val="71C45BF7"/>
    <w:rsid w:val="71CC3F1C"/>
    <w:rsid w:val="736507F6"/>
    <w:rsid w:val="74457D84"/>
    <w:rsid w:val="74BD01BD"/>
    <w:rsid w:val="74BD424F"/>
    <w:rsid w:val="75380AFD"/>
    <w:rsid w:val="76D37824"/>
    <w:rsid w:val="78D43D28"/>
    <w:rsid w:val="793F5645"/>
    <w:rsid w:val="7A0F6CE0"/>
    <w:rsid w:val="7AD93877"/>
    <w:rsid w:val="7BD21935"/>
    <w:rsid w:val="7CEE5DEB"/>
    <w:rsid w:val="7DA31D95"/>
    <w:rsid w:val="7DBDBF5C"/>
    <w:rsid w:val="7DFF0658"/>
    <w:rsid w:val="7E9052F2"/>
    <w:rsid w:val="7EB70F64"/>
    <w:rsid w:val="7ED70BBB"/>
    <w:rsid w:val="7EFC33D8"/>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6010</Words>
  <Characters>6432</Characters>
  <Lines>1</Lines>
  <Paragraphs>1</Paragraphs>
  <TotalTime>17</TotalTime>
  <ScaleCrop>false</ScaleCrop>
  <LinksUpToDate>false</LinksUpToDate>
  <CharactersWithSpaces>6988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2018-03-23T18:08:00Z</dcterms:created>
  <dc:creator>0002219</dc:creator>
  <cp:lastModifiedBy>七七七七</cp:lastModifiedBy>
  <dcterms:modified xsi:type="dcterms:W3CDTF">2024-06-12T07:47:36Z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546B4B3EA7850758D8C3806391F335B3</vt:lpwstr>
  </property>
</Properties>
</file>