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蒙牛乳业清远工厂2024年度电子设备集中维修项目询比价公告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left="279" w:leftChars="133" w:firstLine="280" w:firstLineChars="1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u w:val="single"/>
        </w:rPr>
        <w:t>蒙牛乳业清远工厂2024年度电子设备集中维修项目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default"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MNCGJH-20240605-00</w:t>
      </w:r>
      <w:r>
        <w:rPr>
          <w:rFonts w:hint="eastAsia" w:ascii="仿宋" w:hAnsi="仿宋" w:eastAsia="仿宋" w:cs="仿宋"/>
          <w:bCs/>
          <w:color w:val="auto"/>
          <w:kern w:val="0"/>
          <w:sz w:val="28"/>
          <w:szCs w:val="28"/>
          <w:lang w:val="en-US" w:eastAsia="zh-CN"/>
        </w:rPr>
        <w:t>18</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蒙牛乳业清远工厂2024年度电子设备集中维修项目</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清远工厂大院各工厂（涉及常、低、冰、鲜奶工厂）生产车间在用的电子设备使用过程会出现损坏，需要有资质的厂家进行维修服务。</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1、需要维修的电子设备范围</w:t>
      </w:r>
      <w:r>
        <w:rPr>
          <w:rFonts w:hint="eastAsia" w:ascii="仿宋_GB2312" w:hAnsi="宋体" w:eastAsia="仿宋_GB2312" w:cs="Times New Roman"/>
          <w:color w:val="auto"/>
          <w:sz w:val="28"/>
          <w:szCs w:val="28"/>
          <w:lang w:val="en-US" w:eastAsia="zh-CN"/>
        </w:rPr>
        <w:t>详见招标文件中“</w:t>
      </w:r>
      <w:r>
        <w:rPr>
          <w:rFonts w:hint="eastAsia" w:ascii="仿宋_GB2312" w:hAnsi="宋体" w:eastAsia="仿宋_GB2312" w:cs="Times New Roman"/>
          <w:color w:val="auto"/>
          <w:sz w:val="28"/>
          <w:szCs w:val="28"/>
        </w:rPr>
        <w:t>电子设备维修清单</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 xml:space="preserve">2、验收要求：维修的设备能够正常使用，且能够保证自被送回之日起 6 个月内不损坏。如在质保期内电机损坏，经双方确认属乙方责任的，乙方应进行免费修复或更换；如责任在甲方，则甲方可另外进行有偿维修。  </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1</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人必须是在中华人民共和国境内注册的，具有独立法人资格的企业</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竞价人</w:t>
      </w:r>
      <w:r>
        <w:rPr>
          <w:rFonts w:hint="eastAsia" w:ascii="仿宋_GB2312" w:hAnsi="宋体" w:eastAsia="仿宋_GB2312" w:cs="Times New Roman"/>
          <w:color w:val="auto"/>
          <w:sz w:val="28"/>
          <w:szCs w:val="28"/>
          <w:lang w:eastAsia="zh-CN"/>
        </w:rPr>
        <w:t>必须具有完成本项目及相关服务的资格和能力，营业范围包含电器维修或电子维修或设备维修或机电设备安装；</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w:t>
      </w:r>
      <w:r>
        <w:rPr>
          <w:rFonts w:hint="eastAsia" w:ascii="仿宋_GB2312" w:hAnsi="宋体" w:eastAsia="仿宋_GB2312" w:cs="Times New Roman"/>
          <w:color w:val="auto"/>
          <w:sz w:val="28"/>
          <w:szCs w:val="28"/>
          <w:lang w:val="en-US" w:eastAsia="zh-CN"/>
        </w:rPr>
        <w:t>必</w:t>
      </w:r>
      <w:r>
        <w:rPr>
          <w:rFonts w:hint="eastAsia" w:ascii="仿宋_GB2312" w:hAnsi="宋体" w:eastAsia="仿宋_GB2312" w:cs="Times New Roman"/>
          <w:color w:val="auto"/>
          <w:sz w:val="28"/>
          <w:szCs w:val="28"/>
        </w:rPr>
        <w:t>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FF0000"/>
          <w:sz w:val="28"/>
          <w:szCs w:val="28"/>
          <w:lang w:eastAsia="zh-CN"/>
        </w:rPr>
        <w:t>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近两年（2022年-2023年）</w:t>
      </w:r>
      <w:r>
        <w:rPr>
          <w:rFonts w:hint="eastAsia" w:ascii="仿宋_GB2312" w:hAnsi="宋体" w:eastAsia="仿宋_GB2312" w:cs="Times New Roman"/>
          <w:color w:val="auto"/>
          <w:sz w:val="28"/>
          <w:szCs w:val="28"/>
          <w:lang w:val="en-US" w:eastAsia="zh-CN"/>
        </w:rPr>
        <w:t>2</w:t>
      </w:r>
      <w:r>
        <w:rPr>
          <w:rFonts w:hint="eastAsia" w:ascii="仿宋_GB2312" w:hAnsi="宋体" w:eastAsia="仿宋_GB2312" w:cs="Times New Roman"/>
          <w:color w:val="auto"/>
          <w:sz w:val="28"/>
          <w:szCs w:val="28"/>
          <w:lang w:eastAsia="zh-CN"/>
        </w:rPr>
        <w:t>个及以上类似项目业绩；</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本企业近1年财务报表或经第三方审计的财务报告。</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pPr>
        <w:pStyle w:val="8"/>
        <w:widowControl/>
        <w:numPr>
          <w:ilvl w:val="0"/>
          <w:numId w:val="0"/>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_GB2312" w:eastAsia="仿宋_GB2312" w:cs="Times New Roman"/>
          <w:color w:val="auto"/>
          <w:kern w:val="2"/>
          <w:sz w:val="28"/>
          <w:szCs w:val="28"/>
          <w:lang w:val="en-US" w:eastAsia="zh-CN" w:bidi="ar-SA"/>
        </w:rPr>
        <w:t>（3）</w:t>
      </w:r>
      <w:r>
        <w:rPr>
          <w:rFonts w:hint="eastAsia" w:ascii="仿宋_GB2312" w:hAnsi="宋体" w:eastAsia="仿宋_GB2312" w:cs="Times New Roman"/>
          <w:color w:val="FF0000"/>
          <w:kern w:val="2"/>
          <w:sz w:val="28"/>
          <w:szCs w:val="28"/>
          <w:lang w:val="en-US" w:eastAsia="zh-CN" w:bidi="ar-SA"/>
        </w:rPr>
        <w:t>提供企业最近1年任意3个月的依法纳税证明材料和社保缴纳证明材料；</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个及以上类似项目业绩的证明材料（提供完整主合同，涉及价格等敏感信息可自行遮盖、必须体现出合同期限或合同签订日期）；</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（5）提供</w:t>
      </w:r>
      <w:r>
        <w:rPr>
          <w:rFonts w:hint="eastAsia" w:ascii="仿宋_GB2312" w:hAnsi="宋体" w:eastAsia="仿宋_GB2312"/>
          <w:color w:val="auto"/>
          <w:sz w:val="28"/>
          <w:szCs w:val="28"/>
        </w:rPr>
        <w:t>本企业近1年财务报表或经第三方审计的财务报告</w:t>
      </w:r>
      <w:r>
        <w:rPr>
          <w:rFonts w:hint="eastAsia" w:ascii="仿宋_GB2312" w:hAnsi="宋体" w:eastAsia="仿宋_GB2312"/>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14</w:t>
      </w:r>
      <w:r>
        <w:rPr>
          <w:rFonts w:hint="eastAsia" w:ascii="仿宋_GB2312" w:hAnsi="宋体" w:eastAsia="仿宋_GB2312"/>
          <w:color w:val="FF0000"/>
          <w:sz w:val="28"/>
          <w:szCs w:val="28"/>
        </w:rPr>
        <w:t>日</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18</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6</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20</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21</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2024年6月24日23时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24</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6</w:t>
      </w:r>
      <w:r>
        <w:rPr>
          <w:rFonts w:hint="eastAsia" w:ascii="仿宋_GB2312" w:hAnsi="宋体" w:eastAsia="仿宋_GB2312"/>
          <w:b w:val="0"/>
          <w:bCs w:val="0"/>
          <w:color w:val="FF0000"/>
          <w:sz w:val="28"/>
          <w:szCs w:val="28"/>
          <w:u w:val="single"/>
        </w:rPr>
        <w:t>月</w:t>
      </w:r>
      <w:r>
        <w:rPr>
          <w:rFonts w:ascii="仿宋_GB2312" w:hAnsi="宋体" w:eastAsia="仿宋_GB2312"/>
          <w:b w:val="0"/>
          <w:bCs w:val="0"/>
          <w:color w:val="FF0000"/>
          <w:sz w:val="28"/>
          <w:szCs w:val="28"/>
          <w:u w:val="single"/>
        </w:rPr>
        <w:t>2</w:t>
      </w:r>
      <w:r>
        <w:rPr>
          <w:rFonts w:hint="eastAsia" w:ascii="仿宋_GB2312" w:hAnsi="宋体" w:eastAsia="仿宋_GB2312"/>
          <w:b w:val="0"/>
          <w:bCs w:val="0"/>
          <w:color w:val="FF0000"/>
          <w:sz w:val="28"/>
          <w:szCs w:val="28"/>
          <w:u w:val="single"/>
          <w:lang w:val="en-US" w:eastAsia="zh-CN"/>
        </w:rPr>
        <w:t>5</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14</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0</w:t>
      </w:r>
      <w:r>
        <w:rPr>
          <w:rFonts w:ascii="仿宋_GB2312" w:hAnsi="宋体" w:eastAsia="仿宋_GB2312"/>
          <w:b w:val="0"/>
          <w:bCs w:val="0"/>
          <w:color w:val="FF0000"/>
          <w:sz w:val="28"/>
          <w:szCs w:val="28"/>
          <w:u w:val="single"/>
        </w:rPr>
        <w:t>0</w:t>
      </w:r>
      <w:r>
        <w:rPr>
          <w:rFonts w:hint="eastAsia" w:ascii="仿宋_GB2312" w:hAnsi="宋体" w:eastAsia="仿宋_GB2312"/>
          <w:b w:val="0"/>
          <w:bCs w:val="0"/>
          <w:color w:val="FF0000"/>
          <w:sz w:val="28"/>
          <w:szCs w:val="28"/>
          <w:u w:val="single"/>
        </w:rPr>
        <w:t>时</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bookmarkStart w:id="0" w:name="_GoBack"/>
      <w:bookmarkEnd w:id="0"/>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技术咨询联系人：吴家伟</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18029746866</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 xml:space="preserve">监 督 人:郑建东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联系方式：0471-7393642/15034927966</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电子邮件：</w:t>
      </w:r>
      <w:r>
        <w:rPr>
          <w:sz w:val="28"/>
          <w:szCs w:val="28"/>
        </w:rPr>
        <w:fldChar w:fldCharType="begin"/>
      </w:r>
      <w:r>
        <w:rPr>
          <w:sz w:val="28"/>
          <w:szCs w:val="28"/>
        </w:rPr>
        <w:instrText xml:space="preserve"> HYPERLINK "mailto:zhengjiandong@mengniu.cn" </w:instrText>
      </w:r>
      <w:r>
        <w:rPr>
          <w:sz w:val="28"/>
          <w:szCs w:val="28"/>
        </w:rPr>
        <w:fldChar w:fldCharType="separate"/>
      </w:r>
      <w:r>
        <w:rPr>
          <w:rStyle w:val="11"/>
          <w:rFonts w:ascii="仿宋_GB2312" w:hAnsi="宋体" w:eastAsia="仿宋_GB2312"/>
          <w:color w:val="000000" w:themeColor="text1"/>
          <w:sz w:val="28"/>
          <w:szCs w:val="28"/>
          <w14:textFill>
            <w14:solidFill>
              <w14:schemeClr w14:val="tx1"/>
            </w14:solidFill>
          </w14:textFill>
        </w:rPr>
        <w:t>zhengjiandong</w:t>
      </w:r>
      <w:r>
        <w:rPr>
          <w:rStyle w:val="11"/>
          <w:rFonts w:hint="eastAsia" w:ascii="仿宋_GB2312" w:hAnsi="宋体" w:eastAsia="仿宋_GB2312"/>
          <w:color w:val="000000" w:themeColor="text1"/>
          <w:sz w:val="28"/>
          <w:szCs w:val="28"/>
          <w14:textFill>
            <w14:solidFill>
              <w14:schemeClr w14:val="tx1"/>
            </w14:solidFill>
          </w14:textFill>
        </w:rPr>
        <w:t>@mengniu.cn</w:t>
      </w:r>
      <w:r>
        <w:rPr>
          <w:rStyle w:val="11"/>
          <w:rFonts w:hint="eastAsia" w:ascii="仿宋_GB2312" w:hAnsi="宋体" w:eastAsia="仿宋_GB2312"/>
          <w:color w:val="000000" w:themeColor="text1"/>
          <w:sz w:val="28"/>
          <w:szCs w:val="28"/>
          <w14:textFill>
            <w14:solidFill>
              <w14:schemeClr w14:val="tx1"/>
            </w14:solidFill>
          </w14:textFill>
        </w:rPr>
        <w:fldChar w:fldCharType="end"/>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12</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br w:type="textWrapping"/>
      </w:r>
      <w:r>
        <w:rPr>
          <w:rFonts w:hint="eastAsia" w:ascii="仿宋" w:hAnsi="仿宋" w:eastAsia="仿宋" w:cs="仿宋"/>
          <w:b/>
          <w:sz w:val="28"/>
          <w:szCs w:val="28"/>
        </w:rPr>
        <w:br w:type="textWrapping"/>
      </w: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rPr>
        <w:t>蒙牛乳业冰品当阳工厂酱料锅管路输送改造项目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AFD1351"/>
    <w:rsid w:val="0B6B7CFC"/>
    <w:rsid w:val="0C2449F6"/>
    <w:rsid w:val="0E4128CD"/>
    <w:rsid w:val="126112CA"/>
    <w:rsid w:val="1F62638E"/>
    <w:rsid w:val="204868B6"/>
    <w:rsid w:val="2A272ED1"/>
    <w:rsid w:val="2C6F24D3"/>
    <w:rsid w:val="2EA52239"/>
    <w:rsid w:val="300C7A21"/>
    <w:rsid w:val="310B704C"/>
    <w:rsid w:val="374D2675"/>
    <w:rsid w:val="38A47697"/>
    <w:rsid w:val="39442B60"/>
    <w:rsid w:val="39E7589A"/>
    <w:rsid w:val="3AF41253"/>
    <w:rsid w:val="3CD451BF"/>
    <w:rsid w:val="3E6D7502"/>
    <w:rsid w:val="3E6F38A3"/>
    <w:rsid w:val="41771449"/>
    <w:rsid w:val="4351365B"/>
    <w:rsid w:val="44C00577"/>
    <w:rsid w:val="48766F11"/>
    <w:rsid w:val="49BA5245"/>
    <w:rsid w:val="4B196765"/>
    <w:rsid w:val="4C101EFD"/>
    <w:rsid w:val="4C147838"/>
    <w:rsid w:val="54741A3D"/>
    <w:rsid w:val="5EEC5AED"/>
    <w:rsid w:val="604D23C6"/>
    <w:rsid w:val="608E51D3"/>
    <w:rsid w:val="61597CE6"/>
    <w:rsid w:val="698067CB"/>
    <w:rsid w:val="6C5775D3"/>
    <w:rsid w:val="6F7F7523"/>
    <w:rsid w:val="70603795"/>
    <w:rsid w:val="717C3606"/>
    <w:rsid w:val="721F48DD"/>
    <w:rsid w:val="72A80588"/>
    <w:rsid w:val="742C3C59"/>
    <w:rsid w:val="79DF58B0"/>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6048</Words>
  <Characters>6423</Characters>
  <Lines>49</Lines>
  <Paragraphs>13</Paragraphs>
  <TotalTime>5</TotalTime>
  <ScaleCrop>false</ScaleCrop>
  <LinksUpToDate>false</LinksUpToDate>
  <CharactersWithSpaces>7041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2024-06-12T11:12:47Z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5B13FD73784C463E9A8596DF30748435_12</vt:lpwstr>
  </property>
</Properties>
</file>