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auto"/>
        <w:snapToGrid/>
        <w:spacing w:line="360" w:lineRule="auto"/>
        <w:ind w:firstLine="723" w:firstLineChars="200"/>
        <w:jc w:val="center"/>
        <w:rPr>
          <w:rFonts w:hint="default" w:ascii="仿宋" w:hAnsi="仿宋" w:eastAsia="仿宋" w:cs="仿宋"/>
          <w:b/>
          <w:bCs/>
          <w:kern w:val="2"/>
          <w:sz w:val="36"/>
          <w:szCs w:val="36"/>
          <w:lang w:val="en-US" w:eastAsia="zh-CN"/>
        </w:rPr>
      </w:pPr>
      <w:r>
        <w:rPr>
          <w:rFonts w:hint="eastAsia" w:ascii="仿宋" w:hAnsi="仿宋" w:eastAsia="仿宋" w:cs="仿宋"/>
          <w:b/>
          <w:bCs/>
          <w:kern w:val="2"/>
          <w:sz w:val="36"/>
          <w:szCs w:val="36"/>
          <w:lang w:val="en-US" w:eastAsia="zh-CN"/>
        </w:rPr>
        <w:t>全球研发创新中心实验室设备竞争性谈判项目</w:t>
      </w:r>
    </w:p>
    <w:p>
      <w:pPr>
        <w:widowControl/>
        <w:shd w:val="clear" w:color="auto" w:fill="auto"/>
        <w:snapToGrid/>
        <w:spacing w:line="360" w:lineRule="auto"/>
        <w:ind w:firstLine="723" w:firstLineChars="200"/>
        <w:jc w:val="center"/>
        <w:rPr>
          <w:rFonts w:hint="eastAsia" w:ascii="仿宋" w:hAnsi="仿宋" w:eastAsia="仿宋" w:cs="仿宋"/>
          <w:b/>
          <w:bCs/>
          <w:kern w:val="2"/>
          <w:sz w:val="36"/>
          <w:szCs w:val="36"/>
        </w:rPr>
      </w:pPr>
      <w:r>
        <w:rPr>
          <w:rFonts w:hint="eastAsia" w:ascii="仿宋" w:hAnsi="仿宋" w:eastAsia="仿宋" w:cs="仿宋"/>
          <w:b/>
          <w:bCs/>
          <w:kern w:val="2"/>
          <w:sz w:val="36"/>
          <w:szCs w:val="36"/>
          <w:lang w:eastAsia="zh-CN"/>
        </w:rPr>
        <w:t>（</w:t>
      </w:r>
      <w:r>
        <w:rPr>
          <w:rFonts w:hint="eastAsia" w:ascii="仿宋" w:hAnsi="仿宋" w:eastAsia="仿宋" w:cs="仿宋"/>
          <w:b/>
          <w:bCs/>
          <w:kern w:val="2"/>
          <w:sz w:val="36"/>
          <w:szCs w:val="36"/>
          <w:lang w:val="en-US" w:eastAsia="zh-CN"/>
        </w:rPr>
        <w:t>二次</w:t>
      </w:r>
      <w:r>
        <w:rPr>
          <w:rFonts w:hint="eastAsia" w:ascii="仿宋" w:hAnsi="仿宋" w:eastAsia="仿宋" w:cs="仿宋"/>
          <w:b/>
          <w:bCs/>
          <w:kern w:val="2"/>
          <w:sz w:val="36"/>
          <w:szCs w:val="36"/>
          <w:lang w:eastAsia="zh-CN"/>
        </w:rPr>
        <w:t>）</w:t>
      </w:r>
      <w:r>
        <w:rPr>
          <w:rFonts w:hint="eastAsia" w:ascii="仿宋" w:hAnsi="仿宋" w:eastAsia="仿宋" w:cs="仿宋"/>
          <w:b/>
          <w:bCs/>
          <w:kern w:val="2"/>
          <w:sz w:val="36"/>
          <w:szCs w:val="36"/>
        </w:rPr>
        <w:t>信息公告</w:t>
      </w:r>
    </w:p>
    <w:p>
      <w:pPr>
        <w:widowControl/>
        <w:shd w:val="clear" w:color="auto" w:fill="auto"/>
        <w:snapToGrid/>
        <w:spacing w:line="360" w:lineRule="auto"/>
        <w:ind w:firstLine="201" w:firstLineChars="200"/>
        <w:jc w:val="center"/>
        <w:rPr>
          <w:rFonts w:hint="eastAsia" w:ascii="仿宋" w:hAnsi="仿宋" w:eastAsia="仿宋" w:cs="仿宋"/>
          <w:b/>
          <w:bCs/>
          <w:kern w:val="2"/>
          <w:sz w:val="10"/>
          <w:szCs w:val="10"/>
        </w:rPr>
      </w:pP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eastAsia="zh-CN"/>
        </w:rPr>
        <w:t>内蒙古蒙牛乳业（集团）股份有限公司</w:t>
      </w:r>
      <w:r>
        <w:rPr>
          <w:rFonts w:hint="eastAsia" w:ascii="仿宋" w:hAnsi="仿宋" w:eastAsia="仿宋" w:cs="仿宋"/>
          <w:sz w:val="30"/>
          <w:szCs w:val="30"/>
          <w:lang w:val="en-US" w:eastAsia="zh-CN"/>
        </w:rPr>
        <w:t>全球研发创新中心因实验需要</w:t>
      </w:r>
      <w:r>
        <w:rPr>
          <w:rFonts w:hint="eastAsia" w:ascii="仿宋" w:hAnsi="仿宋" w:eastAsia="仿宋" w:cs="仿宋"/>
          <w:sz w:val="30"/>
          <w:szCs w:val="30"/>
        </w:rPr>
        <w:t>，现就</w:t>
      </w:r>
      <w:r>
        <w:rPr>
          <w:rFonts w:hint="eastAsia" w:ascii="仿宋" w:hAnsi="仿宋" w:eastAsia="仿宋" w:cs="仿宋"/>
          <w:sz w:val="30"/>
          <w:szCs w:val="30"/>
          <w:lang w:val="en-US" w:eastAsia="zh-CN"/>
        </w:rPr>
        <w:t>全球研发创新中心实验室设备采购</w:t>
      </w:r>
      <w:r>
        <w:rPr>
          <w:rFonts w:hint="eastAsia" w:ascii="仿宋" w:hAnsi="仿宋" w:eastAsia="仿宋" w:cs="仿宋"/>
          <w:sz w:val="30"/>
          <w:szCs w:val="30"/>
        </w:rPr>
        <w:t>进行竞争性谈判, 欢迎符合资格条件的竞谈人参加。</w:t>
      </w:r>
    </w:p>
    <w:p>
      <w:pPr>
        <w:spacing w:line="360" w:lineRule="auto"/>
        <w:ind w:firstLine="602" w:firstLineChars="200"/>
        <w:rPr>
          <w:rFonts w:ascii="仿宋" w:hAnsi="仿宋" w:eastAsia="仿宋" w:cs="仿宋"/>
          <w:b w:val="0"/>
          <w:bCs/>
          <w:sz w:val="30"/>
          <w:szCs w:val="30"/>
          <w:highlight w:val="none"/>
        </w:rPr>
      </w:pPr>
      <w:r>
        <w:rPr>
          <w:rFonts w:hint="eastAsia" w:ascii="仿宋" w:hAnsi="仿宋" w:eastAsia="仿宋" w:cs="仿宋"/>
          <w:b/>
          <w:sz w:val="30"/>
          <w:szCs w:val="30"/>
          <w:highlight w:val="none"/>
        </w:rPr>
        <w:t>一、项目编号：</w:t>
      </w:r>
      <w:r>
        <w:rPr>
          <w:rFonts w:hint="eastAsia" w:ascii="仿宋" w:hAnsi="仿宋" w:eastAsia="仿宋" w:cs="仿宋"/>
          <w:b w:val="0"/>
          <w:bCs/>
          <w:sz w:val="30"/>
          <w:szCs w:val="30"/>
          <w:highlight w:val="none"/>
        </w:rPr>
        <w:t>MNCGJH-20240529-0019</w:t>
      </w:r>
    </w:p>
    <w:p>
      <w:pPr>
        <w:spacing w:line="360" w:lineRule="auto"/>
        <w:ind w:firstLine="602" w:firstLineChars="200"/>
        <w:rPr>
          <w:rFonts w:hint="default" w:ascii="仿宋" w:hAnsi="仿宋" w:eastAsia="仿宋" w:cs="仿宋"/>
          <w:sz w:val="30"/>
          <w:szCs w:val="30"/>
          <w:highlight w:val="none"/>
          <w:lang w:val="en-US" w:eastAsia="zh-CN"/>
        </w:rPr>
      </w:pPr>
      <w:r>
        <w:rPr>
          <w:rFonts w:hint="eastAsia" w:ascii="仿宋" w:hAnsi="仿宋" w:eastAsia="仿宋" w:cs="仿宋"/>
          <w:b/>
          <w:sz w:val="30"/>
          <w:szCs w:val="30"/>
          <w:highlight w:val="none"/>
        </w:rPr>
        <w:t>二、项目名称</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全球研发创新中心实验室设备竞争性谈判项目</w:t>
      </w:r>
    </w:p>
    <w:p>
      <w:pPr>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三、项目概况：</w:t>
      </w:r>
    </w:p>
    <w:tbl>
      <w:tblPr>
        <w:tblStyle w:val="14"/>
        <w:tblW w:w="98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5"/>
        <w:gridCol w:w="1526"/>
        <w:gridCol w:w="1360"/>
        <w:gridCol w:w="1038"/>
        <w:gridCol w:w="2976"/>
        <w:gridCol w:w="2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实验目的</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进口or国产</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主要业务需求</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售后服务要求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短暂离心、收集液体到管底部。菌株活化培养保藏、检测等实验操作均会用到，属实验室通用型基础仪器</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掌上迷你离心机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用于离心管的短暂离心、收集液体至管底。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*1.包含适配1.5mL/2mL离心管的转头和8连排0.2mL-PCR管的转头。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*2.转速可达8000 rpm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*3.低噪无位移</w:t>
            </w:r>
          </w:p>
        </w:tc>
        <w:tc>
          <w:tcPr>
            <w:tcW w:w="25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1、送货到门；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2、附带全部合格资料，包括但不限于中文操作说明，中文维护说明，中文维修说明，外文资料附带完全准确中文翻译资料；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3、设备及备品备件含有国家强制认证或特别认证的配件或材料，同时附带合格认证结果原件；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4、设备在用期间不中断备件供应；</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5、列明售后服务收费依据，价格低于于行价；</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6、设备到货按买方要求及时安装；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7、保证设备到货后20日内满足启用条件；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8、设备安装后对操作员和维护员培训，能独立操作和完成日常维护为标准；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9、买方有需求时，按需提供培训服务；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10、有需求时，提供应用指导或方法开发配合；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11、指导买方准确购置备件，因供应商原因导致备件购置错误须在15日内调换并到货买方；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12、不发生恶意提高备件价格或延长供货周期现象；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13、备件有修复再利用的绝对优势，供应商必须予以修复；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14、售后服务工时不出现违约情况；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15、售后服务时，供应商造成基础设施或临近无关设备或本设备其它备件损坏，作价赔偿；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16、售后服务时，供应商未妥善保管部件而丢失或损坏，买方无赔偿义务；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17、供应商在售后服务过程中对使用方提出的问题解答清楚；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18、售后服务过程中对顺带发现的其它隐患或故障或应用问题同时予以维修或纠正；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19、售后服务工作应有条理性，不能让使用方过度投入人力、物力；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20、供应商因判断失误导致故障进一步加重或扩大，供应商承担此部分修复费用，并按工时完成；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21、售后服务收费只限于原发故障部分，排查过程用到的备件不由使用方承担费用；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22、售后服务结束，供应商和使用方共同对服务结果验收；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23、提供设备终生售后服务。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孔板、EP管内溶液的混匀。菌株活化培养保藏、检测等实验操作均会用到，属实验室通用型基础仪器</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涡旋混匀仪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不指定</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*1.工作方式： 连续/点触/调速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*2.振动方式： 圆周式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*3.振幅： 4.5mm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*4.包含配件：方形酶标板夹具+1.5/2ml管适配器+15mL管适配器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*5.需包含上述所需配件，且机身扁平厚度不超过15cm</w:t>
            </w:r>
          </w:p>
        </w:tc>
        <w:tc>
          <w:tcPr>
            <w:tcW w:w="2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在短时间内，标准化、自动化将实体组织分解成有活力的单细胞，用于原代细胞培养、流式细胞分析/分选、单细胞测试和药物测试</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单细胞悬液制备仪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不指定</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1.可控温，实验通量达</w:t>
            </w:r>
            <w:r>
              <w:rPr>
                <w:rFonts w:hint="eastAsia" w:ascii="宋体" w:hAnsi="宋体" w:cs="宋体"/>
                <w:i w:val="0"/>
                <w:iCs w:val="0"/>
                <w:color w:val="auto"/>
                <w:kern w:val="0"/>
                <w:sz w:val="18"/>
                <w:szCs w:val="18"/>
                <w:u w:val="none"/>
                <w:lang w:val="en-US" w:eastAsia="zh-CN" w:bidi="ar"/>
              </w:rPr>
              <w:t>8个</w:t>
            </w:r>
            <w:r>
              <w:rPr>
                <w:rFonts w:hint="eastAsia" w:ascii="宋体" w:hAnsi="宋体" w:eastAsia="宋体" w:cs="宋体"/>
                <w:i w:val="0"/>
                <w:iCs w:val="0"/>
                <w:color w:val="auto"/>
                <w:kern w:val="0"/>
                <w:sz w:val="18"/>
                <w:szCs w:val="18"/>
                <w:u w:val="none"/>
                <w:lang w:val="en-US" w:eastAsia="zh-CN" w:bidi="ar"/>
              </w:rPr>
              <w:t>样品以上</w:t>
            </w:r>
            <w:r>
              <w:rPr>
                <w:rFonts w:hint="eastAsia" w:ascii="宋体" w:hAnsi="宋体" w:cs="宋体"/>
                <w:i w:val="0"/>
                <w:iCs w:val="0"/>
                <w:color w:val="auto"/>
                <w:kern w:val="0"/>
                <w:sz w:val="18"/>
                <w:szCs w:val="18"/>
                <w:u w:val="none"/>
                <w:lang w:val="en-US" w:eastAsia="zh-CN" w:bidi="ar"/>
              </w:rPr>
              <w:t>（包含8个样品）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*2.重复性稳定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*3.有预设程序，后期可升级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*4.样本量在5 mg-1000mg之间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*5.可连续工作时间&gt;=300min</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*6.操作简易、制备流程全自动，15分钟内可以完成元代细胞培养样本从组织到单细胞过程，细胞存活率高；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*7.制备出的单细胞活性可达90%以上；临床样本的组织利用率100%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*8.技术支持响应迅速（8小时内快速响应）、可提供多种组织解决方案</w:t>
            </w:r>
          </w:p>
        </w:tc>
        <w:tc>
          <w:tcPr>
            <w:tcW w:w="2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用于检测密封容器内氧气含量的仪器，可以帮助确保容器内的氧气含量符合要求，从而保证产品的质量和安全。如：充氮包装的残氧量等</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残氧仪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进口</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*1.气体：O2  背景气:N2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*2.测量范围：0-100%；精度：0.01%</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*3.样气需要量：O2 ＜2ml</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*4.测量速度：6秒或更短时间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*5.校准：简易的2点校准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*6.数显</w:t>
            </w:r>
          </w:p>
        </w:tc>
        <w:tc>
          <w:tcPr>
            <w:tcW w:w="2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检测产品物理形态</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质构仪</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*1、适用范围：专业用于食品、医药、生物材料、化工领域等多方面的物性测定分析的研究级机型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2、基本参数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*2.1测试结果显示精度:0.0001g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*2.2位移精度:0.001mm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*2.3测试臂移动距离:400mm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*2.4检测速度:0.01~45mm/s。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*2.5数据采集率:不低于1000组/秒,每组4个通道同时读取。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2.6力量感应元:500g、1kg、5kg、10kg、20kg、30kg、50kg、100Kg可选。可根据用户需求提供升级产品配置。 3、基本功能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*3.1自带数据库,包含食品、医药、化工等多领域物性测定。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*3.2数据分析无须编程、直接勾选测试指标,实验结果一键导出;可设置不同角色管理权限。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3.3软件自带方法库及教学视频,食品物性、流变知识库;可直接导入实验参数,方便操作;可直接导出实验报告。 *3.4测试方法:单次测试、全质构测试、循环测试、松弛测试、蠕变测试等，获取基本物性指标以及应力、应变、屈服点等材料力学分析指标。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*3.5仪器操作:仪器带有软键盘,可直接控制上下力量臂,软件带有控制键,无需用手接触仪器,只需点击鼠标可以进行仪器各种操作;多重仪器保护措施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4、拓展功能：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*1.温度控制检测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2.音频录入设备(可实时记录样品在物性变化中声音的变化)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配置需求：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*需要配置电脑和测试软件；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*圆柱探头（P 0.5、P 2 、P50）</w:t>
            </w:r>
          </w:p>
        </w:tc>
        <w:tc>
          <w:tcPr>
            <w:tcW w:w="2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蛋白酶解产物分析</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荧光分光光度计</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进口</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一、技术条款和配置要求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环境条件：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1.1电源电压：220V，50Hz</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1.2温度：15~35℃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1.3相对湿度：45~80%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 技术指标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2.1.单色器：机刻凹面衍射光栅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闪耀波长：激发侧300nm，发射侧400nm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2.2.测量波长范围：220~730nm和零级光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*2.3.灵敏度：信噪比S/N优于800（RMS）峰值噪声；S/N ＞10000（RMS）背景最低噪声；激发波长：350nm；带宽：5nm；响应：2.0秒</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2.4.波长精度：±2 nm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 波长重复性：≤1 nm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*2.6.波长扫描速度： 60/300/1500/3000/12000 nm/min；可在3S内扫完全波长。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2.7.光谱带宽： 2.5，5，10和20nm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2.8.响应时间：0到98%，0.04，0.08，0.4和2秒</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2.9.光源：150w连续氙灯（自动除臭氧灯室）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*2.10.标准荧光池最小试样体积：0.6mL(使用标准10mm池)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2.11.波长位移速度：12000nm/min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2.12.光度值显示范围：-9999到9999</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*2.13测光方式为单色光检测器比值计算法而非光电倍增管电极反馈法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*2.14.功能：定量计算，波长扫描，时间相关测量，三维测量(PC控制），自动灵敏度测量，波长准确度和波长设定重复性测量，预扫描(PC控制）和数据存储功能；可选配量子产率积分球测试绝对量子产率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 预扫描功能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3.配置</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3.1仪器主机一台、配套软件：1套、配套电脑：1台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4，售后服务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 仪器到货后7日内，我公司专业安装工程师上门免费安装调试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 现场免费培训仪器操作人员一至两名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4.3仪器保修期为一年，不收取任何费用。由本技术服务中心负责终身维修，所用的配件按成本收费。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4.4报修响应时间为24小时,48小时维修工程师赶到现场。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4.5具有丰富的售后服务经验，相同型号仪器中科院系统用户不低于10家。</w:t>
            </w:r>
          </w:p>
        </w:tc>
        <w:tc>
          <w:tcPr>
            <w:tcW w:w="2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r>
    </w:tbl>
    <w:p>
      <w:pPr>
        <w:spacing w:line="360" w:lineRule="auto"/>
        <w:ind w:firstLine="602" w:firstLineChars="200"/>
        <w:rPr>
          <w:rFonts w:ascii="仿宋" w:hAnsi="仿宋" w:eastAsia="仿宋" w:cs="仿宋"/>
          <w:sz w:val="30"/>
          <w:szCs w:val="30"/>
        </w:rPr>
      </w:pPr>
      <w:bookmarkStart w:id="0" w:name="gwwh"/>
      <w:bookmarkEnd w:id="0"/>
      <w:r>
        <w:rPr>
          <w:rFonts w:hint="eastAsia" w:ascii="仿宋" w:hAnsi="仿宋" w:eastAsia="仿宋" w:cs="仿宋"/>
          <w:b/>
          <w:sz w:val="30"/>
          <w:szCs w:val="30"/>
        </w:rPr>
        <w:t>四、资格要求：</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rPr>
        <w:t>竞谈人必须是在中华人民共和国境内注册的独立法人资格的企业单位，</w:t>
      </w:r>
      <w:r>
        <w:rPr>
          <w:rFonts w:hint="eastAsia" w:ascii="仿宋" w:hAnsi="仿宋" w:eastAsia="仿宋" w:cs="仿宋"/>
          <w:sz w:val="30"/>
          <w:szCs w:val="30"/>
          <w:highlight w:val="none"/>
        </w:rPr>
        <w:t>且注册资金在</w:t>
      </w:r>
      <w:r>
        <w:rPr>
          <w:rFonts w:ascii="仿宋" w:hAnsi="仿宋" w:eastAsia="仿宋" w:cs="仿宋"/>
          <w:sz w:val="30"/>
          <w:szCs w:val="30"/>
          <w:highlight w:val="none"/>
        </w:rPr>
        <w:t>5</w:t>
      </w:r>
      <w:r>
        <w:rPr>
          <w:rFonts w:hint="eastAsia" w:ascii="仿宋" w:hAnsi="仿宋" w:eastAsia="仿宋" w:cs="仿宋"/>
          <w:sz w:val="30"/>
          <w:szCs w:val="30"/>
          <w:highlight w:val="none"/>
        </w:rPr>
        <w:t>00万元人民币（外币按注册时汇率计算）及以上</w:t>
      </w:r>
      <w:r>
        <w:rPr>
          <w:rFonts w:hint="eastAsia" w:ascii="仿宋" w:hAnsi="仿宋" w:eastAsia="仿宋" w:cs="仿宋"/>
          <w:sz w:val="30"/>
          <w:szCs w:val="30"/>
          <w:lang w:eastAsia="zh-CN"/>
        </w:rPr>
        <w:t>；</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val="en-US" w:eastAsia="zh-CN"/>
        </w:rPr>
        <w:t>2.竞谈人须具有</w:t>
      </w:r>
      <w:r>
        <w:rPr>
          <w:rFonts w:hint="eastAsia" w:ascii="仿宋" w:hAnsi="仿宋" w:eastAsia="仿宋" w:cs="仿宋"/>
          <w:sz w:val="30"/>
          <w:szCs w:val="30"/>
          <w:highlight w:val="none"/>
        </w:rPr>
        <w:t>为设备生产制造厂家或设备生产制造厂家授权的代理商（所有设备均需提供）；若是授权代理商，必须取得所投货物生产制造商</w:t>
      </w:r>
      <w:r>
        <w:rPr>
          <w:rFonts w:hint="eastAsia" w:ascii="仿宋" w:hAnsi="仿宋" w:eastAsia="仿宋" w:cs="仿宋"/>
          <w:sz w:val="30"/>
          <w:szCs w:val="30"/>
          <w:highlight w:val="none"/>
          <w:lang w:val="en-US" w:eastAsia="zh-CN"/>
        </w:rPr>
        <w:t>或代理商</w:t>
      </w:r>
      <w:r>
        <w:rPr>
          <w:rFonts w:hint="eastAsia" w:ascii="仿宋" w:hAnsi="仿宋" w:eastAsia="仿宋" w:cs="仿宋"/>
          <w:sz w:val="30"/>
          <w:szCs w:val="30"/>
          <w:highlight w:val="none"/>
        </w:rPr>
        <w:t>出具的授权书</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授权书需要提供原件扫描件</w:t>
      </w:r>
      <w:r>
        <w:rPr>
          <w:rFonts w:hint="eastAsia" w:ascii="仿宋" w:hAnsi="仿宋" w:eastAsia="仿宋" w:cs="仿宋"/>
          <w:sz w:val="30"/>
          <w:szCs w:val="30"/>
          <w:highlight w:val="none"/>
          <w:lang w:eastAsia="zh-CN"/>
        </w:rPr>
        <w:t>）。</w:t>
      </w:r>
    </w:p>
    <w:p>
      <w:pPr>
        <w:spacing w:line="240" w:lineRule="auto"/>
        <w:ind w:firstLine="60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3.竞谈人须具有近三年（2020-2022年或2021-2023年）年财务报表或第三方财务审计报告；</w:t>
      </w:r>
    </w:p>
    <w:p>
      <w:pPr>
        <w:spacing w:line="240" w:lineRule="auto"/>
        <w:ind w:firstLine="60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4.竞谈人2021年-至今须具有至少3个类似项目业绩（以合同为准）；</w:t>
      </w:r>
    </w:p>
    <w:p>
      <w:pPr>
        <w:spacing w:line="240" w:lineRule="auto"/>
        <w:ind w:firstLine="60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5.竞谈人</w:t>
      </w:r>
      <w:r>
        <w:rPr>
          <w:rFonts w:hint="eastAsia" w:ascii="仿宋" w:hAnsi="仿宋" w:eastAsia="仿宋" w:cs="仿宋"/>
          <w:sz w:val="30"/>
          <w:szCs w:val="30"/>
          <w:highlight w:val="none"/>
        </w:rPr>
        <w:t>须</w:t>
      </w:r>
      <w:r>
        <w:rPr>
          <w:rFonts w:hint="eastAsia" w:ascii="仿宋" w:hAnsi="仿宋" w:eastAsia="仿宋" w:cs="仿宋"/>
          <w:sz w:val="30"/>
          <w:szCs w:val="30"/>
          <w:highlight w:val="none"/>
          <w:lang w:val="en-US" w:eastAsia="zh-CN"/>
        </w:rPr>
        <w:t>具备</w:t>
      </w:r>
      <w:r>
        <w:rPr>
          <w:rFonts w:hint="eastAsia" w:ascii="仿宋" w:hAnsi="仿宋" w:eastAsia="仿宋" w:cs="仿宋"/>
          <w:sz w:val="30"/>
          <w:szCs w:val="30"/>
          <w:highlight w:val="none"/>
        </w:rPr>
        <w:t>一般纳税人资格</w:t>
      </w:r>
      <w:r>
        <w:rPr>
          <w:rFonts w:hint="eastAsia" w:ascii="仿宋" w:hAnsi="仿宋" w:eastAsia="仿宋" w:cs="仿宋"/>
          <w:sz w:val="30"/>
          <w:szCs w:val="30"/>
          <w:highlight w:val="none"/>
          <w:lang w:eastAsia="zh-CN"/>
        </w:rPr>
        <w:t>；</w:t>
      </w:r>
    </w:p>
    <w:p>
      <w:pPr>
        <w:spacing w:line="240" w:lineRule="auto"/>
        <w:ind w:firstLine="600" w:firstLineChars="0"/>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竞谈人未被列入国家企业信用信息公示系统（</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"http://www.gsxt.gov.cn/index.html%EF%BC%89%E4%B8%A5%E9%87%8D%E8%BF%9D%E6%B3%95%E5%A4%B1%E4%BF%A1%E4%BC%81%E4%B8%9A%E5%90%8D%E5%8D%95" \t "_blank" </w:instrText>
      </w:r>
      <w:r>
        <w:rPr>
          <w:rFonts w:hint="eastAsia" w:ascii="仿宋" w:hAnsi="仿宋" w:eastAsia="仿宋" w:cs="仿宋"/>
          <w:sz w:val="30"/>
          <w:szCs w:val="30"/>
        </w:rPr>
        <w:fldChar w:fldCharType="separate"/>
      </w:r>
      <w:r>
        <w:rPr>
          <w:rFonts w:hint="eastAsia" w:ascii="仿宋" w:hAnsi="仿宋" w:eastAsia="仿宋" w:cs="仿宋"/>
          <w:sz w:val="30"/>
          <w:szCs w:val="30"/>
        </w:rPr>
        <w:t>http://www.gsxt.gov.cn/index.html）严重违法失信企业名单</w:t>
      </w:r>
      <w:r>
        <w:rPr>
          <w:rFonts w:hint="eastAsia" w:ascii="仿宋" w:hAnsi="仿宋" w:eastAsia="仿宋" w:cs="仿宋"/>
          <w:sz w:val="30"/>
          <w:szCs w:val="30"/>
        </w:rPr>
        <w:fldChar w:fldCharType="end"/>
      </w:r>
      <w:r>
        <w:rPr>
          <w:rFonts w:hint="eastAsia" w:ascii="仿宋" w:hAnsi="仿宋" w:eastAsia="仿宋" w:cs="仿宋"/>
          <w:sz w:val="30"/>
          <w:szCs w:val="30"/>
        </w:rPr>
        <w:t>。</w:t>
      </w:r>
    </w:p>
    <w:p>
      <w:pPr>
        <w:spacing w:line="240" w:lineRule="auto"/>
        <w:ind w:firstLine="600" w:firstLineChars="0"/>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 xml:space="preserve">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 </w:t>
      </w:r>
    </w:p>
    <w:p>
      <w:pPr>
        <w:spacing w:line="240" w:lineRule="auto"/>
        <w:ind w:firstLine="600" w:firstLineChars="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本次项目不接受联合体竞谈，不允许分包或转包。</w:t>
      </w:r>
    </w:p>
    <w:p>
      <w:pPr>
        <w:spacing w:line="240" w:lineRule="auto"/>
        <w:ind w:firstLine="600" w:firstLineChars="0"/>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不接受中粮及蒙牛供应商黑名单（以蒙牛集团招投标管理部下发的黑名单为准）的企业参与竞争。</w:t>
      </w:r>
    </w:p>
    <w:p>
      <w:pPr>
        <w:spacing w:line="360" w:lineRule="auto"/>
        <w:ind w:firstLine="602" w:firstLineChars="200"/>
        <w:jc w:val="left"/>
        <w:rPr>
          <w:rFonts w:ascii="仿宋" w:hAnsi="仿宋" w:eastAsia="仿宋" w:cs="仿宋"/>
          <w:b/>
          <w:i/>
          <w:color w:val="FF0000"/>
          <w:sz w:val="30"/>
          <w:szCs w:val="30"/>
        </w:rPr>
      </w:pPr>
      <w:r>
        <w:rPr>
          <w:rFonts w:hint="eastAsia" w:ascii="仿宋" w:hAnsi="仿宋" w:eastAsia="仿宋" w:cs="仿宋"/>
          <w:b/>
          <w:color w:val="000000"/>
          <w:sz w:val="30"/>
          <w:szCs w:val="30"/>
        </w:rPr>
        <w:t>五、报名须知</w:t>
      </w:r>
    </w:p>
    <w:p>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1、报名资格文件的</w:t>
      </w:r>
      <w:r>
        <w:rPr>
          <w:rFonts w:hint="eastAsia" w:ascii="仿宋" w:hAnsi="仿宋" w:eastAsia="仿宋" w:cs="仿宋"/>
          <w:color w:val="000000"/>
          <w:sz w:val="30"/>
          <w:szCs w:val="30"/>
          <w:u w:val="single"/>
        </w:rPr>
        <w:t>组成及顺序</w:t>
      </w:r>
      <w:r>
        <w:rPr>
          <w:rFonts w:hint="eastAsia" w:ascii="仿宋" w:hAnsi="仿宋" w:eastAsia="仿宋" w:cs="仿宋"/>
          <w:color w:val="000000"/>
          <w:sz w:val="30"/>
          <w:szCs w:val="30"/>
        </w:rPr>
        <w:t>按照如下要求提供：</w:t>
      </w:r>
    </w:p>
    <w:p>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（1）有效的营业执照（副本）</w:t>
      </w:r>
      <w:r>
        <w:rPr>
          <w:rFonts w:hint="eastAsia" w:ascii="仿宋" w:hAnsi="仿宋" w:eastAsia="仿宋" w:cs="仿宋"/>
          <w:sz w:val="30"/>
          <w:szCs w:val="30"/>
          <w:lang w:eastAsia="zh-CN"/>
        </w:rPr>
        <w:t>，</w:t>
      </w:r>
      <w:r>
        <w:rPr>
          <w:rFonts w:hint="eastAsia" w:ascii="仿宋" w:hAnsi="仿宋" w:eastAsia="仿宋" w:cs="仿宋"/>
          <w:sz w:val="30"/>
          <w:szCs w:val="30"/>
        </w:rPr>
        <w:t>有效的开户行许可证/基本存款</w:t>
      </w:r>
      <w:r>
        <w:rPr>
          <w:rFonts w:hint="eastAsia" w:ascii="仿宋" w:hAnsi="仿宋" w:eastAsia="仿宋" w:cs="仿宋"/>
          <w:sz w:val="30"/>
          <w:szCs w:val="30"/>
          <w:lang w:eastAsia="zh-CN"/>
        </w:rPr>
        <w:t>。</w:t>
      </w:r>
    </w:p>
    <w:p>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（2）法定代表人证明书或授权委托书。</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备注：法定代表人须上传法人证明材料及身份证扫描件，若为被授权人须上传一份法人授权委托书和身份证扫描件及被授权委托人近一年内在本单位的社保证明材料。</w:t>
      </w:r>
    </w:p>
    <w:p>
      <w:pPr>
        <w:numPr>
          <w:ilvl w:val="0"/>
          <w:numId w:val="1"/>
        </w:num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sz w:val="30"/>
          <w:szCs w:val="30"/>
          <w:highlight w:val="none"/>
        </w:rPr>
        <w:t>提供设备生产制造厂家的承诺书；若是授权代理商，必须提供所投货物生产制造商</w:t>
      </w:r>
      <w:r>
        <w:rPr>
          <w:rFonts w:hint="eastAsia" w:ascii="仿宋" w:hAnsi="仿宋" w:eastAsia="仿宋" w:cs="仿宋"/>
          <w:sz w:val="30"/>
          <w:szCs w:val="30"/>
          <w:highlight w:val="none"/>
          <w:lang w:val="en-US" w:eastAsia="zh-CN"/>
        </w:rPr>
        <w:t>或代理商</w:t>
      </w:r>
      <w:r>
        <w:rPr>
          <w:rFonts w:hint="eastAsia" w:ascii="仿宋" w:hAnsi="仿宋" w:eastAsia="仿宋" w:cs="仿宋"/>
          <w:sz w:val="30"/>
          <w:szCs w:val="30"/>
          <w:highlight w:val="none"/>
        </w:rPr>
        <w:t>出具书面授权书</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授权书提供原件扫描件</w:t>
      </w:r>
      <w:r>
        <w:rPr>
          <w:rFonts w:hint="eastAsia" w:ascii="仿宋" w:hAnsi="仿宋" w:eastAsia="仿宋" w:cs="仿宋"/>
          <w:sz w:val="30"/>
          <w:szCs w:val="30"/>
          <w:highlight w:val="none"/>
          <w:lang w:eastAsia="zh-CN"/>
        </w:rPr>
        <w:t>）</w:t>
      </w:r>
      <w:r>
        <w:rPr>
          <w:rFonts w:hint="eastAsia" w:ascii="仿宋" w:hAnsi="仿宋" w:eastAsia="仿宋" w:cs="仿宋"/>
          <w:color w:val="000000"/>
          <w:sz w:val="30"/>
          <w:szCs w:val="30"/>
        </w:rPr>
        <w:t>；</w:t>
      </w:r>
    </w:p>
    <w:p>
      <w:pPr>
        <w:numPr>
          <w:ilvl w:val="0"/>
          <w:numId w:val="1"/>
        </w:num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提供本企业近三年</w:t>
      </w:r>
      <w:r>
        <w:rPr>
          <w:rFonts w:hint="eastAsia" w:ascii="仿宋" w:hAnsi="仿宋" w:eastAsia="仿宋" w:cs="仿宋"/>
          <w:sz w:val="30"/>
          <w:szCs w:val="30"/>
          <w:lang w:val="en-US" w:eastAsia="zh-CN"/>
        </w:rPr>
        <w:t>（2021-2023年）</w:t>
      </w:r>
      <w:r>
        <w:rPr>
          <w:rFonts w:hint="eastAsia" w:ascii="仿宋" w:hAnsi="仿宋" w:eastAsia="仿宋" w:cs="仿宋"/>
          <w:color w:val="000000"/>
          <w:sz w:val="30"/>
          <w:szCs w:val="30"/>
        </w:rPr>
        <w:t>财务报表或第三方财务审计报告</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资产负债表、利润表、现金流量表）</w:t>
      </w:r>
      <w:r>
        <w:rPr>
          <w:rFonts w:hint="eastAsia" w:ascii="仿宋" w:hAnsi="仿宋" w:eastAsia="仿宋" w:cs="仿宋"/>
          <w:color w:val="000000"/>
          <w:sz w:val="30"/>
          <w:szCs w:val="30"/>
          <w:lang w:eastAsia="zh-CN"/>
        </w:rPr>
        <w:t>；</w:t>
      </w:r>
    </w:p>
    <w:p>
      <w:pPr>
        <w:numPr>
          <w:ilvl w:val="0"/>
          <w:numId w:val="1"/>
        </w:num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提供本企业近三年（</w:t>
      </w:r>
      <w:r>
        <w:rPr>
          <w:rFonts w:hint="eastAsia" w:ascii="仿宋" w:hAnsi="仿宋" w:eastAsia="仿宋" w:cs="仿宋"/>
          <w:sz w:val="30"/>
          <w:szCs w:val="30"/>
          <w:lang w:val="en-US" w:eastAsia="zh-CN"/>
        </w:rPr>
        <w:t>2022年-</w:t>
      </w:r>
      <w:r>
        <w:rPr>
          <w:rFonts w:hint="eastAsia" w:ascii="仿宋" w:hAnsi="仿宋" w:eastAsia="仿宋" w:cs="仿宋"/>
          <w:color w:val="000000"/>
          <w:sz w:val="30"/>
          <w:szCs w:val="30"/>
          <w:lang w:val="en-US" w:eastAsia="zh-CN"/>
        </w:rPr>
        <w:t>至今</w:t>
      </w:r>
      <w:r>
        <w:rPr>
          <w:rFonts w:hint="eastAsia" w:ascii="仿宋" w:hAnsi="仿宋" w:eastAsia="仿宋" w:cs="仿宋"/>
          <w:color w:val="000000"/>
          <w:sz w:val="30"/>
          <w:szCs w:val="30"/>
        </w:rPr>
        <w:t>）至少</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个及以上业绩的证明材料（以合同为准）</w:t>
      </w:r>
      <w:r>
        <w:rPr>
          <w:rFonts w:hint="eastAsia" w:ascii="仿宋" w:hAnsi="仿宋" w:eastAsia="仿宋" w:cs="仿宋"/>
          <w:color w:val="000000"/>
          <w:sz w:val="30"/>
          <w:szCs w:val="30"/>
          <w:lang w:eastAsia="zh-CN"/>
        </w:rPr>
        <w:t>；</w:t>
      </w:r>
    </w:p>
    <w:p>
      <w:pPr>
        <w:numPr>
          <w:ilvl w:val="0"/>
          <w:numId w:val="1"/>
        </w:num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lang w:val="en-US" w:eastAsia="zh-CN"/>
        </w:rPr>
        <w:t>提供一般</w:t>
      </w:r>
      <w:r>
        <w:rPr>
          <w:rFonts w:hint="eastAsia" w:ascii="仿宋" w:hAnsi="仿宋" w:eastAsia="仿宋" w:cs="仿宋"/>
          <w:sz w:val="30"/>
          <w:szCs w:val="30"/>
          <w:highlight w:val="none"/>
        </w:rPr>
        <w:t>纳税人认定资格证明材料</w:t>
      </w:r>
      <w:r>
        <w:rPr>
          <w:rFonts w:hint="eastAsia" w:ascii="仿宋" w:hAnsi="仿宋" w:eastAsia="仿宋" w:cs="仿宋"/>
          <w:color w:val="000000"/>
          <w:sz w:val="30"/>
          <w:szCs w:val="30"/>
          <w:lang w:val="en-US" w:eastAsia="zh-CN"/>
        </w:rPr>
        <w:t>；</w:t>
      </w:r>
    </w:p>
    <w:p>
      <w:pPr>
        <w:numPr>
          <w:ilvl w:val="0"/>
          <w:numId w:val="1"/>
        </w:numPr>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企业最近1年任意3个月的依法纳税证明材料和社保缴纳证明材料；</w:t>
      </w:r>
    </w:p>
    <w:p>
      <w:pPr>
        <w:numPr>
          <w:ilvl w:val="0"/>
          <w:numId w:val="1"/>
        </w:num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保密承诺书（附件2）</w:t>
      </w:r>
      <w:r>
        <w:rPr>
          <w:rFonts w:hint="eastAsia" w:ascii="仿宋" w:hAnsi="仿宋" w:eastAsia="仿宋" w:cs="仿宋"/>
          <w:color w:val="000000"/>
          <w:sz w:val="30"/>
          <w:szCs w:val="30"/>
          <w:lang w:eastAsia="zh-CN"/>
        </w:rPr>
        <w:t>；</w:t>
      </w:r>
    </w:p>
    <w:p>
      <w:pPr>
        <w:spacing w:line="360" w:lineRule="auto"/>
        <w:ind w:firstLine="606" w:firstLineChars="202"/>
        <w:rPr>
          <w:rFonts w:ascii="仿宋" w:hAnsi="仿宋" w:eastAsia="仿宋" w:cs="仿宋"/>
          <w:sz w:val="30"/>
          <w:szCs w:val="30"/>
        </w:rPr>
      </w:pPr>
      <w:r>
        <w:rPr>
          <w:rFonts w:hint="eastAsia" w:ascii="仿宋" w:hAnsi="仿宋" w:eastAsia="仿宋" w:cs="仿宋"/>
          <w:sz w:val="30"/>
          <w:szCs w:val="30"/>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w:t>
      </w:r>
      <w:r>
        <w:rPr>
          <w:rFonts w:hint="eastAsia" w:ascii="仿宋" w:hAnsi="仿宋" w:eastAsia="仿宋" w:cs="仿宋"/>
          <w:sz w:val="30"/>
          <w:szCs w:val="30"/>
          <w:lang w:val="en-US" w:eastAsia="zh-CN"/>
        </w:rPr>
        <w:t>通过资格预审的竞谈人，方可领取谈判文件。</w:t>
      </w:r>
      <w:r>
        <w:rPr>
          <w:rFonts w:hint="eastAsia" w:ascii="仿宋" w:hAnsi="仿宋" w:eastAsia="仿宋" w:cs="仿宋"/>
          <w:sz w:val="30"/>
          <w:szCs w:val="30"/>
        </w:rPr>
        <w:t xml:space="preserve">                   </w:t>
      </w:r>
    </w:p>
    <w:p>
      <w:pPr>
        <w:spacing w:line="360" w:lineRule="auto"/>
        <w:ind w:firstLine="606" w:firstLineChars="202"/>
        <w:rPr>
          <w:rFonts w:ascii="仿宋" w:hAnsi="仿宋" w:eastAsia="仿宋" w:cs="仿宋"/>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资料提供不全或者未按时间要求提报的将被拒绝接收，所提供的资质、业绩文件中如有虚假情况，一经发现将被取消竞谈资格。</w:t>
      </w:r>
    </w:p>
    <w:p>
      <w:pPr>
        <w:spacing w:line="360" w:lineRule="auto"/>
        <w:ind w:firstLine="606" w:firstLineChars="202"/>
        <w:rPr>
          <w:rFonts w:ascii="仿宋" w:hAnsi="仿宋" w:eastAsia="仿宋" w:cs="仿宋"/>
          <w:sz w:val="30"/>
          <w:szCs w:val="30"/>
        </w:rPr>
      </w:pPr>
      <w:r>
        <w:rPr>
          <w:rFonts w:hint="eastAsia" w:ascii="仿宋" w:hAnsi="仿宋" w:eastAsia="仿宋" w:cs="仿宋"/>
          <w:sz w:val="30"/>
          <w:szCs w:val="30"/>
        </w:rPr>
        <w:t>竞谈人自</w:t>
      </w:r>
      <w:r>
        <w:rPr>
          <w:rFonts w:hint="eastAsia" w:ascii="仿宋" w:hAnsi="仿宋" w:eastAsia="仿宋" w:cs="仿宋"/>
          <w:sz w:val="30"/>
          <w:szCs w:val="30"/>
          <w:lang w:val="en-US" w:eastAsia="zh-CN"/>
        </w:rPr>
        <w:t>领取</w:t>
      </w:r>
      <w:r>
        <w:rPr>
          <w:rFonts w:hint="eastAsia" w:ascii="仿宋" w:hAnsi="仿宋" w:eastAsia="仿宋" w:cs="仿宋"/>
          <w:sz w:val="30"/>
          <w:szCs w:val="30"/>
        </w:rPr>
        <w:t>谈判文件之日起，应确保其向采购方提供的通讯</w:t>
      </w:r>
      <w:r>
        <w:rPr>
          <w:rFonts w:hint="eastAsia" w:ascii="仿宋" w:hAnsi="仿宋" w:eastAsia="仿宋" w:cs="仿宋"/>
          <w:sz w:val="30"/>
          <w:szCs w:val="30"/>
          <w:lang w:val="en-US" w:eastAsia="zh-CN"/>
        </w:rPr>
        <w:t>方式</w:t>
      </w:r>
      <w:r>
        <w:rPr>
          <w:rFonts w:hint="eastAsia" w:ascii="仿宋" w:hAnsi="仿宋" w:eastAsia="仿宋" w:cs="仿宋"/>
          <w:sz w:val="30"/>
          <w:szCs w:val="30"/>
        </w:rPr>
        <w:t>（电话、邮箱）一直有效，以保证往来函件能及时传达并及时反馈信息，否则由此引起的一切后果由竞谈人承担。</w:t>
      </w:r>
    </w:p>
    <w:p>
      <w:pPr>
        <w:spacing w:line="360" w:lineRule="auto"/>
        <w:ind w:firstLine="606" w:firstLineChars="202"/>
        <w:rPr>
          <w:rFonts w:ascii="仿宋" w:hAnsi="仿宋" w:eastAsia="仿宋" w:cs="仿宋"/>
          <w:sz w:val="30"/>
          <w:szCs w:val="30"/>
        </w:rPr>
      </w:pPr>
      <w:r>
        <w:rPr>
          <w:rFonts w:hint="eastAsia" w:ascii="仿宋" w:hAnsi="仿宋" w:eastAsia="仿宋" w:cs="仿宋"/>
          <w:sz w:val="30"/>
          <w:szCs w:val="30"/>
        </w:rPr>
        <w:t>2、报名方式：</w:t>
      </w:r>
    </w:p>
    <w:p>
      <w:pPr>
        <w:spacing w:line="360" w:lineRule="auto"/>
        <w:ind w:firstLine="606" w:firstLineChars="202"/>
        <w:rPr>
          <w:rFonts w:ascii="仿宋" w:hAnsi="仿宋" w:eastAsia="仿宋" w:cs="仿宋"/>
          <w:sz w:val="30"/>
          <w:szCs w:val="30"/>
        </w:rPr>
      </w:pPr>
      <w:r>
        <w:rPr>
          <w:rFonts w:hint="eastAsia" w:ascii="仿宋" w:hAnsi="仿宋" w:eastAsia="仿宋" w:cs="仿宋"/>
          <w:sz w:val="30"/>
          <w:szCs w:val="30"/>
        </w:rPr>
        <w:t>潜在竞谈人依据资格要求自主评估，符合条件的登录“蒙牛集团电子采购招标平台”进行网上报名、资格验证、</w:t>
      </w:r>
      <w:r>
        <w:rPr>
          <w:rFonts w:hint="eastAsia" w:ascii="仿宋" w:hAnsi="仿宋" w:eastAsia="仿宋" w:cs="仿宋"/>
          <w:sz w:val="30"/>
          <w:szCs w:val="30"/>
          <w:lang w:val="en-US" w:eastAsia="zh-CN"/>
        </w:rPr>
        <w:t>领取谈判</w:t>
      </w:r>
      <w:r>
        <w:rPr>
          <w:rFonts w:hint="eastAsia" w:ascii="仿宋" w:hAnsi="仿宋" w:eastAsia="仿宋" w:cs="仿宋"/>
          <w:sz w:val="30"/>
          <w:szCs w:val="30"/>
        </w:rPr>
        <w:t>文件、澄清答疑和参与竞谈会等，过程中如有疑问可咨询平台服务支持，电话</w:t>
      </w:r>
      <w:r>
        <w:rPr>
          <w:rFonts w:hint="eastAsia" w:ascii="仿宋" w:hAnsi="仿宋" w:eastAsia="仿宋" w:cs="仿宋"/>
          <w:sz w:val="30"/>
          <w:szCs w:val="30"/>
          <w:lang w:val="en-US" w:eastAsia="zh-CN"/>
        </w:rPr>
        <w:t>4008108111</w:t>
      </w:r>
      <w:r>
        <w:rPr>
          <w:rFonts w:hint="eastAsia" w:ascii="仿宋" w:hAnsi="仿宋" w:eastAsia="仿宋" w:cs="仿宋"/>
          <w:sz w:val="30"/>
          <w:szCs w:val="30"/>
        </w:rPr>
        <w:t>或咨询采购方业务咨询联系人。</w:t>
      </w:r>
    </w:p>
    <w:p>
      <w:pPr>
        <w:spacing w:line="360" w:lineRule="auto"/>
        <w:ind w:firstLine="606" w:firstLineChars="202"/>
        <w:rPr>
          <w:rFonts w:ascii="仿宋" w:hAnsi="仿宋" w:eastAsia="仿宋" w:cs="仿宋"/>
          <w:color w:val="000000"/>
          <w:sz w:val="30"/>
          <w:szCs w:val="30"/>
        </w:rPr>
      </w:pPr>
      <w:r>
        <w:rPr>
          <w:rFonts w:hint="eastAsia" w:ascii="仿宋" w:hAnsi="仿宋" w:eastAsia="仿宋" w:cs="仿宋"/>
          <w:sz w:val="30"/>
          <w:szCs w:val="30"/>
        </w:rPr>
        <w:t>注：</w:t>
      </w:r>
      <w:r>
        <w:rPr>
          <w:rFonts w:hint="eastAsia" w:ascii="仿宋" w:hAnsi="仿宋" w:eastAsia="仿宋" w:cs="仿宋"/>
          <w:sz w:val="30"/>
          <w:szCs w:val="30"/>
          <w:lang w:val="en-US" w:eastAsia="zh-CN"/>
        </w:rPr>
        <w:t>首次参与蒙牛采购项目的潜在竞谈方，须在SRM平台中提交注册，提交后联系业务联系人准入，准入通过后，方可参与报名材料提交。</w:t>
      </w:r>
      <w:r>
        <w:rPr>
          <w:rFonts w:hint="eastAsia" w:ascii="仿宋" w:hAnsi="仿宋" w:eastAsia="仿宋" w:cs="仿宋"/>
          <w:sz w:val="30"/>
          <w:szCs w:val="30"/>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spacing w:line="360" w:lineRule="auto"/>
        <w:ind w:firstLine="602" w:firstLineChars="200"/>
        <w:rPr>
          <w:rFonts w:ascii="仿宋" w:hAnsi="仿宋" w:eastAsia="仿宋" w:cs="仿宋"/>
          <w:b/>
          <w:sz w:val="30"/>
          <w:szCs w:val="30"/>
        </w:rPr>
      </w:pPr>
      <w:r>
        <w:rPr>
          <w:rFonts w:hint="eastAsia" w:ascii="仿宋" w:hAnsi="仿宋" w:eastAsia="仿宋" w:cs="仿宋"/>
          <w:b/>
          <w:sz w:val="30"/>
          <w:szCs w:val="30"/>
        </w:rPr>
        <w:t>六、项目时间安排及要求：</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1、报名时间：</w:t>
      </w:r>
      <w:r>
        <w:rPr>
          <w:rFonts w:hint="eastAsia" w:ascii="仿宋" w:hAnsi="仿宋" w:eastAsia="仿宋" w:cs="仿宋"/>
          <w:sz w:val="30"/>
          <w:szCs w:val="30"/>
          <w:u w:val="single"/>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6</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w:t>
      </w:r>
      <w:r>
        <w:rPr>
          <w:rFonts w:hint="eastAsia" w:ascii="仿宋" w:hAnsi="仿宋" w:eastAsia="仿宋" w:cs="仿宋"/>
          <w:sz w:val="30"/>
          <w:szCs w:val="30"/>
          <w:u w:val="single"/>
          <w:lang w:val="en-US" w:eastAsia="zh-CN"/>
        </w:rPr>
        <w:t>7</w:t>
      </w:r>
      <w:r>
        <w:rPr>
          <w:rFonts w:hint="eastAsia" w:ascii="仿宋" w:hAnsi="仿宋" w:eastAsia="仿宋" w:cs="仿宋"/>
          <w:sz w:val="30"/>
          <w:szCs w:val="30"/>
        </w:rPr>
        <w:t>日至</w:t>
      </w:r>
      <w:r>
        <w:rPr>
          <w:rFonts w:hint="eastAsia" w:ascii="仿宋" w:hAnsi="仿宋" w:eastAsia="仿宋" w:cs="仿宋"/>
          <w:sz w:val="30"/>
          <w:szCs w:val="30"/>
          <w:u w:val="single"/>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6</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20</w:t>
      </w:r>
      <w:r>
        <w:rPr>
          <w:rFonts w:hint="eastAsia" w:ascii="仿宋" w:hAnsi="仿宋" w:eastAsia="仿宋" w:cs="仿宋"/>
          <w:sz w:val="30"/>
          <w:szCs w:val="30"/>
        </w:rPr>
        <w:t>日。</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2、资格预审时间：</w:t>
      </w:r>
      <w:r>
        <w:rPr>
          <w:rFonts w:hint="eastAsia" w:ascii="仿宋" w:hAnsi="仿宋" w:eastAsia="仿宋" w:cs="仿宋"/>
          <w:sz w:val="30"/>
          <w:szCs w:val="30"/>
          <w:u w:val="single"/>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6</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18</w:t>
      </w:r>
      <w:r>
        <w:rPr>
          <w:rFonts w:hint="eastAsia" w:ascii="仿宋" w:hAnsi="仿宋" w:eastAsia="仿宋" w:cs="仿宋"/>
          <w:sz w:val="30"/>
          <w:szCs w:val="30"/>
        </w:rPr>
        <w:t>日至</w:t>
      </w:r>
      <w:r>
        <w:rPr>
          <w:rFonts w:hint="eastAsia" w:ascii="仿宋" w:hAnsi="仿宋" w:eastAsia="仿宋" w:cs="仿宋"/>
          <w:sz w:val="30"/>
          <w:szCs w:val="30"/>
          <w:u w:val="single"/>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6</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21</w:t>
      </w:r>
      <w:r>
        <w:rPr>
          <w:rFonts w:hint="eastAsia" w:ascii="仿宋" w:hAnsi="仿宋" w:eastAsia="仿宋" w:cs="仿宋"/>
          <w:sz w:val="30"/>
          <w:szCs w:val="30"/>
        </w:rPr>
        <w:t>日。</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3、谈判文件发</w:t>
      </w:r>
      <w:r>
        <w:rPr>
          <w:rFonts w:hint="eastAsia" w:ascii="仿宋" w:hAnsi="仿宋" w:eastAsia="仿宋" w:cs="仿宋"/>
          <w:sz w:val="30"/>
          <w:szCs w:val="30"/>
          <w:lang w:val="en-US" w:eastAsia="zh-CN"/>
        </w:rPr>
        <w:t>出</w:t>
      </w:r>
      <w:r>
        <w:rPr>
          <w:rFonts w:hint="eastAsia" w:ascii="仿宋" w:hAnsi="仿宋" w:eastAsia="仿宋" w:cs="仿宋"/>
          <w:sz w:val="30"/>
          <w:szCs w:val="30"/>
        </w:rPr>
        <w:t>时间：</w:t>
      </w:r>
      <w:r>
        <w:rPr>
          <w:rFonts w:hint="eastAsia" w:ascii="仿宋" w:hAnsi="仿宋" w:eastAsia="仿宋" w:cs="仿宋"/>
          <w:sz w:val="30"/>
          <w:szCs w:val="30"/>
          <w:u w:val="single"/>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6</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19</w:t>
      </w:r>
      <w:r>
        <w:rPr>
          <w:rFonts w:hint="eastAsia" w:ascii="仿宋" w:hAnsi="仿宋" w:eastAsia="仿宋" w:cs="仿宋"/>
          <w:sz w:val="30"/>
          <w:szCs w:val="30"/>
        </w:rPr>
        <w:t>日至</w:t>
      </w:r>
      <w:r>
        <w:rPr>
          <w:rFonts w:hint="eastAsia" w:ascii="仿宋" w:hAnsi="仿宋" w:eastAsia="仿宋" w:cs="仿宋"/>
          <w:sz w:val="30"/>
          <w:szCs w:val="30"/>
          <w:u w:val="single"/>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6</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21</w:t>
      </w:r>
      <w:r>
        <w:rPr>
          <w:rFonts w:hint="eastAsia" w:ascii="仿宋" w:hAnsi="仿宋" w:eastAsia="仿宋" w:cs="仿宋"/>
          <w:sz w:val="30"/>
          <w:szCs w:val="30"/>
        </w:rPr>
        <w:t>日发</w:t>
      </w:r>
      <w:r>
        <w:rPr>
          <w:rFonts w:hint="eastAsia" w:ascii="仿宋" w:hAnsi="仿宋" w:eastAsia="仿宋" w:cs="仿宋"/>
          <w:sz w:val="30"/>
          <w:szCs w:val="30"/>
          <w:lang w:val="en-US" w:eastAsia="zh-CN"/>
        </w:rPr>
        <w:t>出</w:t>
      </w:r>
      <w:r>
        <w:rPr>
          <w:rFonts w:hint="eastAsia" w:ascii="仿宋" w:hAnsi="仿宋" w:eastAsia="仿宋" w:cs="仿宋"/>
          <w:sz w:val="30"/>
          <w:szCs w:val="30"/>
        </w:rPr>
        <w:t>谈判文件，</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sz w:val="30"/>
          <w:szCs w:val="30"/>
        </w:rPr>
        <w:t>4、谈判时间：</w:t>
      </w:r>
      <w:r>
        <w:rPr>
          <w:rFonts w:hint="eastAsia" w:ascii="仿宋" w:hAnsi="仿宋" w:eastAsia="仿宋" w:cs="仿宋"/>
          <w:sz w:val="30"/>
          <w:szCs w:val="30"/>
          <w:u w:val="single"/>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6</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28</w:t>
      </w:r>
      <w:r>
        <w:rPr>
          <w:rFonts w:hint="eastAsia" w:ascii="仿宋" w:hAnsi="仿宋" w:eastAsia="仿宋" w:cs="仿宋"/>
          <w:sz w:val="30"/>
          <w:szCs w:val="30"/>
        </w:rPr>
        <w:t>日</w:t>
      </w:r>
      <w:r>
        <w:rPr>
          <w:rFonts w:hint="eastAsia" w:ascii="仿宋" w:hAnsi="仿宋" w:eastAsia="仿宋" w:cs="仿宋"/>
          <w:sz w:val="30"/>
          <w:szCs w:val="30"/>
          <w:u w:val="single"/>
        </w:rPr>
        <w:t>9</w:t>
      </w:r>
      <w:r>
        <w:rPr>
          <w:rFonts w:hint="eastAsia" w:ascii="仿宋" w:hAnsi="仿宋" w:eastAsia="仿宋" w:cs="仿宋"/>
          <w:sz w:val="30"/>
          <w:szCs w:val="30"/>
        </w:rPr>
        <w:t>时</w:t>
      </w:r>
      <w:r>
        <w:rPr>
          <w:rFonts w:hint="eastAsia" w:ascii="仿宋" w:hAnsi="仿宋" w:eastAsia="仿宋" w:cs="仿宋"/>
          <w:sz w:val="30"/>
          <w:szCs w:val="30"/>
          <w:lang w:val="en-US" w:eastAsia="zh-CN"/>
        </w:rPr>
        <w:t>30分</w:t>
      </w:r>
      <w:r>
        <w:rPr>
          <w:rFonts w:hint="eastAsia" w:ascii="仿宋" w:hAnsi="仿宋" w:eastAsia="仿宋" w:cs="仿宋"/>
          <w:sz w:val="30"/>
          <w:szCs w:val="30"/>
        </w:rPr>
        <w:t>（以发出的谈判文件为准）。</w:t>
      </w:r>
    </w:p>
    <w:p>
      <w:pPr>
        <w:spacing w:line="360" w:lineRule="auto"/>
        <w:ind w:firstLine="602" w:firstLineChars="200"/>
        <w:rPr>
          <w:rFonts w:ascii="仿宋" w:hAnsi="仿宋" w:eastAsia="仿宋" w:cs="仿宋"/>
          <w:b/>
          <w:sz w:val="30"/>
          <w:szCs w:val="30"/>
          <w:u w:val="single"/>
        </w:rPr>
      </w:pPr>
      <w:r>
        <w:rPr>
          <w:rFonts w:hint="eastAsia" w:ascii="仿宋" w:hAnsi="仿宋" w:eastAsia="仿宋" w:cs="仿宋"/>
          <w:b/>
          <w:sz w:val="30"/>
          <w:szCs w:val="30"/>
        </w:rPr>
        <w:t>七、谈判地点：</w:t>
      </w:r>
      <w:r>
        <w:rPr>
          <w:rFonts w:hint="eastAsia" w:ascii="仿宋" w:hAnsi="仿宋" w:eastAsia="仿宋" w:cs="仿宋"/>
          <w:bCs/>
          <w:sz w:val="30"/>
          <w:szCs w:val="30"/>
        </w:rPr>
        <w:t>蒙牛集团电子采购招标平台（https://zbcg.mengniu.cn/）（以发出的谈判文件为准）</w:t>
      </w:r>
    </w:p>
    <w:p>
      <w:pPr>
        <w:spacing w:line="360" w:lineRule="auto"/>
        <w:ind w:firstLine="602" w:firstLineChars="200"/>
        <w:rPr>
          <w:rFonts w:ascii="仿宋" w:hAnsi="仿宋" w:eastAsia="仿宋" w:cs="仿宋"/>
          <w:b/>
          <w:color w:val="000000"/>
          <w:sz w:val="30"/>
          <w:szCs w:val="30"/>
        </w:rPr>
      </w:pPr>
      <w:r>
        <w:rPr>
          <w:rFonts w:hint="eastAsia" w:ascii="仿宋" w:hAnsi="仿宋" w:eastAsia="仿宋" w:cs="仿宋"/>
          <w:b/>
          <w:color w:val="000000"/>
          <w:sz w:val="30"/>
          <w:szCs w:val="30"/>
        </w:rPr>
        <w:t>八、发布媒体：</w:t>
      </w:r>
    </w:p>
    <w:p>
      <w:pPr>
        <w:spacing w:line="360" w:lineRule="auto"/>
        <w:ind w:firstLine="600" w:firstLineChars="200"/>
        <w:rPr>
          <w:rFonts w:hint="eastAsia" w:ascii="仿宋" w:hAnsi="仿宋" w:eastAsia="仿宋" w:cs="仿宋"/>
          <w:bCs w:val="0"/>
          <w:color w:val="000000"/>
          <w:sz w:val="30"/>
          <w:szCs w:val="30"/>
        </w:rPr>
      </w:pPr>
      <w:r>
        <w:rPr>
          <w:rFonts w:hint="eastAsia" w:ascii="仿宋" w:hAnsi="仿宋" w:eastAsia="仿宋" w:cs="仿宋"/>
          <w:bCs w:val="0"/>
          <w:color w:val="000000"/>
          <w:sz w:val="30"/>
          <w:szCs w:val="30"/>
        </w:rPr>
        <w:t>蒙牛集团电子采购招标平台（</w:t>
      </w:r>
      <w:r>
        <w:rPr>
          <w:rFonts w:hint="eastAsia" w:ascii="仿宋" w:hAnsi="仿宋" w:eastAsia="仿宋" w:cs="仿宋"/>
          <w:color w:val="000000"/>
          <w:sz w:val="30"/>
          <w:szCs w:val="30"/>
        </w:rPr>
        <w:fldChar w:fldCharType="begin"/>
      </w:r>
      <w:r>
        <w:rPr>
          <w:rFonts w:hint="eastAsia" w:ascii="仿宋" w:hAnsi="仿宋" w:eastAsia="仿宋" w:cs="仿宋"/>
          <w:color w:val="000000"/>
          <w:sz w:val="30"/>
          <w:szCs w:val="30"/>
        </w:rPr>
        <w:instrText xml:space="preserve"> HYPERLINK "https://zbcg.mengniu.cn/" \l "/home" \t "_blank" </w:instrText>
      </w:r>
      <w:r>
        <w:rPr>
          <w:rFonts w:hint="eastAsia" w:ascii="仿宋" w:hAnsi="仿宋" w:eastAsia="仿宋" w:cs="仿宋"/>
          <w:color w:val="000000"/>
          <w:sz w:val="30"/>
          <w:szCs w:val="30"/>
        </w:rPr>
        <w:fldChar w:fldCharType="separate"/>
      </w:r>
      <w:r>
        <w:rPr>
          <w:rFonts w:hint="eastAsia" w:ascii="仿宋" w:hAnsi="仿宋" w:eastAsia="仿宋" w:cs="仿宋"/>
          <w:bCs w:val="0"/>
          <w:color w:val="000000"/>
          <w:sz w:val="30"/>
          <w:szCs w:val="30"/>
        </w:rPr>
        <w:t>https://zbcg.mengniu.cn/#/home</w:t>
      </w:r>
      <w:r>
        <w:rPr>
          <w:rFonts w:hint="eastAsia" w:ascii="仿宋" w:hAnsi="仿宋" w:eastAsia="仿宋" w:cs="仿宋"/>
          <w:bCs w:val="0"/>
          <w:color w:val="000000"/>
          <w:sz w:val="30"/>
          <w:szCs w:val="30"/>
        </w:rPr>
        <w:fldChar w:fldCharType="end"/>
      </w:r>
      <w:r>
        <w:rPr>
          <w:rFonts w:hint="eastAsia" w:ascii="仿宋" w:hAnsi="仿宋" w:eastAsia="仿宋" w:cs="仿宋"/>
          <w:bCs w:val="0"/>
          <w:color w:val="000000"/>
          <w:sz w:val="30"/>
          <w:szCs w:val="30"/>
        </w:rPr>
        <w:t>)</w:t>
      </w:r>
    </w:p>
    <w:p>
      <w:pPr>
        <w:shd w:val="clear"/>
        <w:snapToGrid/>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蒙牛官网（http://www.mengniu.com.cn）</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蒙牛内部OA平台</w:t>
      </w:r>
    </w:p>
    <w:p>
      <w:pPr>
        <w:spacing w:line="360" w:lineRule="auto"/>
        <w:ind w:firstLine="600" w:firstLineChars="200"/>
        <w:rPr>
          <w:rFonts w:hint="eastAsia" w:ascii="仿宋" w:hAnsi="仿宋" w:eastAsia="仿宋" w:cs="仿宋"/>
          <w:bCs w:val="0"/>
          <w:color w:val="000000"/>
          <w:sz w:val="30"/>
          <w:szCs w:val="30"/>
        </w:rPr>
      </w:pPr>
      <w:r>
        <w:rPr>
          <w:rFonts w:hint="eastAsia" w:ascii="仿宋" w:hAnsi="仿宋" w:eastAsia="仿宋" w:cs="仿宋"/>
          <w:bCs w:val="0"/>
          <w:color w:val="000000"/>
          <w:sz w:val="30"/>
          <w:szCs w:val="30"/>
        </w:rPr>
        <w:t>此公告只在以上平台发布，其他任何媒体转载无效。</w:t>
      </w:r>
    </w:p>
    <w:p>
      <w:pPr>
        <w:spacing w:line="360" w:lineRule="auto"/>
        <w:ind w:firstLine="602" w:firstLineChars="200"/>
        <w:rPr>
          <w:rFonts w:ascii="仿宋" w:hAnsi="仿宋" w:eastAsia="仿宋" w:cs="仿宋"/>
          <w:b/>
          <w:sz w:val="30"/>
          <w:szCs w:val="30"/>
        </w:rPr>
      </w:pPr>
      <w:r>
        <w:rPr>
          <w:rFonts w:hint="eastAsia" w:ascii="仿宋" w:hAnsi="仿宋" w:eastAsia="仿宋" w:cs="仿宋"/>
          <w:b/>
          <w:sz w:val="30"/>
          <w:szCs w:val="30"/>
        </w:rPr>
        <w:t>九、采购招标实施方及联系方式：</w:t>
      </w:r>
    </w:p>
    <w:p>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采购方：</w:t>
      </w:r>
      <w:r>
        <w:rPr>
          <w:rFonts w:hint="eastAsia" w:ascii="仿宋" w:hAnsi="仿宋" w:eastAsia="仿宋" w:cs="仿宋"/>
          <w:sz w:val="30"/>
          <w:szCs w:val="30"/>
          <w:lang w:eastAsia="zh-CN"/>
        </w:rPr>
        <w:t>内蒙古蒙牛乳业（集团）股份有限公司</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业务咨询联系人：</w:t>
      </w:r>
      <w:r>
        <w:rPr>
          <w:rFonts w:hint="eastAsia" w:ascii="仿宋" w:hAnsi="仿宋" w:eastAsia="仿宋" w:cs="仿宋"/>
          <w:sz w:val="30"/>
          <w:szCs w:val="30"/>
          <w:lang w:val="en-US" w:eastAsia="zh-CN"/>
        </w:rPr>
        <w:t>李冰</w:t>
      </w:r>
      <w:r>
        <w:rPr>
          <w:rFonts w:hint="eastAsia" w:ascii="仿宋" w:hAnsi="仿宋" w:eastAsia="仿宋" w:cs="仿宋"/>
          <w:sz w:val="30"/>
          <w:szCs w:val="30"/>
        </w:rPr>
        <w:t xml:space="preserve">                </w:t>
      </w:r>
    </w:p>
    <w:p>
      <w:pPr>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联系方式：15124776540</w:t>
      </w:r>
      <w:r>
        <w:rPr>
          <w:rFonts w:hint="eastAsia" w:ascii="仿宋" w:hAnsi="仿宋" w:eastAsia="仿宋" w:cs="仿宋"/>
          <w:sz w:val="30"/>
          <w:szCs w:val="30"/>
          <w:lang w:val="en-US" w:eastAsia="zh-CN"/>
        </w:rPr>
        <w:t xml:space="preserve"> </w:t>
      </w:r>
    </w:p>
    <w:p>
      <w:pPr>
        <w:spacing w:line="360" w:lineRule="auto"/>
        <w:ind w:firstLine="602" w:firstLineChars="200"/>
        <w:rPr>
          <w:rFonts w:ascii="仿宋" w:hAnsi="仿宋" w:eastAsia="仿宋" w:cs="仿宋"/>
          <w:b/>
          <w:sz w:val="30"/>
          <w:szCs w:val="30"/>
        </w:rPr>
      </w:pPr>
      <w:r>
        <w:rPr>
          <w:rFonts w:hint="eastAsia" w:ascii="仿宋" w:hAnsi="仿宋" w:eastAsia="仿宋" w:cs="仿宋"/>
          <w:b/>
          <w:sz w:val="30"/>
          <w:szCs w:val="30"/>
        </w:rPr>
        <w:t>十、监督单位及联系方式：</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监督单位：内蒙古蒙牛乳业（集团）股份有限公司招投标管理部</w:t>
      </w:r>
    </w:p>
    <w:p>
      <w:pPr>
        <w:spacing w:line="360" w:lineRule="auto"/>
        <w:ind w:firstLine="600" w:firstLineChars="200"/>
        <w:rPr>
          <w:rFonts w:ascii="仿宋" w:hAnsi="仿宋" w:eastAsia="仿宋" w:cs="仿宋"/>
          <w:sz w:val="28"/>
          <w:szCs w:val="28"/>
          <w:highlight w:val="yellow"/>
        </w:rPr>
      </w:pPr>
      <w:r>
        <w:rPr>
          <w:rFonts w:hint="eastAsia" w:ascii="仿宋" w:hAnsi="仿宋" w:eastAsia="仿宋" w:cs="仿宋"/>
          <w:sz w:val="30"/>
          <w:szCs w:val="30"/>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30"/>
          <w:szCs w:val="30"/>
        </w:rPr>
        <w:t>https://zbcg.mengniu.cn/#/home</w:t>
      </w:r>
      <w:r>
        <w:rPr>
          <w:rFonts w:hint="eastAsia" w:ascii="仿宋" w:hAnsi="仿宋" w:eastAsia="仿宋" w:cs="仿宋"/>
          <w:sz w:val="30"/>
          <w:szCs w:val="30"/>
        </w:rPr>
        <w:fldChar w:fldCharType="end"/>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监 督 人:</w:t>
      </w:r>
      <w:r>
        <w:rPr>
          <w:rFonts w:hint="eastAsia" w:ascii="仿宋" w:hAnsi="仿宋" w:eastAsia="仿宋" w:cs="仿宋"/>
          <w:sz w:val="30"/>
          <w:szCs w:val="30"/>
          <w:lang w:val="en-US" w:eastAsia="zh-CN"/>
        </w:rPr>
        <w:t>郑建东</w:t>
      </w:r>
      <w:r>
        <w:rPr>
          <w:rFonts w:hint="eastAsia" w:ascii="仿宋" w:hAnsi="仿宋" w:eastAsia="仿宋" w:cs="仿宋"/>
          <w:sz w:val="30"/>
          <w:szCs w:val="30"/>
        </w:rPr>
        <w:t xml:space="preserve">                       </w:t>
      </w:r>
    </w:p>
    <w:p>
      <w:pPr>
        <w:spacing w:line="360" w:lineRule="auto"/>
        <w:ind w:firstLine="600" w:firstLineChars="200"/>
        <w:rPr>
          <w:rFonts w:hint="default" w:ascii="仿宋" w:hAnsi="仿宋" w:eastAsia="仿宋" w:cs="仿宋"/>
          <w:sz w:val="30"/>
          <w:szCs w:val="30"/>
          <w:highlight w:val="yellow"/>
          <w:lang w:val="en-US" w:eastAsia="zh-CN"/>
        </w:rPr>
      </w:pPr>
      <w:r>
        <w:rPr>
          <w:rFonts w:hint="eastAsia" w:ascii="仿宋" w:hAnsi="仿宋" w:eastAsia="仿宋" w:cs="仿宋"/>
          <w:sz w:val="30"/>
          <w:szCs w:val="30"/>
        </w:rPr>
        <w:t>联系电话：0471-7393642/监督人电话：15034927966</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电子邮件：</w:t>
      </w:r>
      <w:r>
        <w:rPr>
          <w:rFonts w:hint="eastAsia" w:ascii="仿宋" w:hAnsi="仿宋" w:eastAsia="仿宋" w:cs="仿宋"/>
          <w:sz w:val="30"/>
          <w:szCs w:val="30"/>
          <w:u w:val="dotted"/>
          <w:lang w:val="en-US" w:eastAsia="zh-CN"/>
        </w:rPr>
        <w:t>zhengjiandong</w:t>
      </w:r>
      <w:r>
        <w:rPr>
          <w:rFonts w:hint="eastAsia" w:ascii="仿宋" w:hAnsi="仿宋" w:eastAsia="仿宋" w:cs="仿宋"/>
          <w:sz w:val="30"/>
          <w:szCs w:val="30"/>
        </w:rPr>
        <w:t>@mengniu.cn</w:t>
      </w:r>
    </w:p>
    <w:p>
      <w:pPr>
        <w:spacing w:line="360" w:lineRule="auto"/>
        <w:ind w:right="640" w:firstLine="606" w:firstLineChars="202"/>
        <w:jc w:val="left"/>
        <w:rPr>
          <w:rFonts w:ascii="仿宋" w:hAnsi="仿宋" w:eastAsia="仿宋" w:cs="仿宋"/>
          <w:sz w:val="30"/>
          <w:szCs w:val="30"/>
        </w:rPr>
      </w:pPr>
    </w:p>
    <w:p>
      <w:pPr>
        <w:spacing w:line="360" w:lineRule="auto"/>
        <w:ind w:right="640" w:firstLine="606" w:firstLineChars="202"/>
        <w:jc w:val="left"/>
        <w:rPr>
          <w:rFonts w:ascii="仿宋" w:hAnsi="仿宋" w:eastAsia="仿宋" w:cs="仿宋"/>
          <w:sz w:val="30"/>
          <w:szCs w:val="30"/>
        </w:rPr>
      </w:pPr>
      <w:r>
        <w:rPr>
          <w:rFonts w:hint="eastAsia" w:ascii="仿宋" w:hAnsi="仿宋" w:eastAsia="仿宋" w:cs="仿宋"/>
          <w:sz w:val="30"/>
          <w:szCs w:val="30"/>
        </w:rPr>
        <w:t>附件：1.</w:t>
      </w:r>
      <w:r>
        <w:rPr>
          <w:rFonts w:hint="eastAsia" w:ascii="仿宋" w:hAnsi="仿宋" w:eastAsia="仿宋" w:cs="仿宋"/>
          <w:sz w:val="28"/>
          <w:szCs w:val="28"/>
        </w:rPr>
        <w:t xml:space="preserve">法人证明、授权人证明 </w:t>
      </w:r>
    </w:p>
    <w:p>
      <w:pPr>
        <w:spacing w:line="360" w:lineRule="auto"/>
        <w:ind w:firstLine="600" w:firstLineChars="200"/>
        <w:rPr>
          <w:rFonts w:ascii="仿宋" w:hAnsi="仿宋" w:eastAsia="仿宋" w:cs="仿宋"/>
          <w:b/>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w:t>
      </w:r>
      <w:r>
        <w:rPr>
          <w:rFonts w:hint="eastAsia" w:ascii="仿宋" w:hAnsi="仿宋" w:eastAsia="仿宋" w:cs="仿宋"/>
        </w:rPr>
        <w:t xml:space="preserve"> </w:t>
      </w:r>
      <w:r>
        <w:rPr>
          <w:rFonts w:hint="eastAsia" w:ascii="仿宋" w:hAnsi="仿宋" w:eastAsia="仿宋" w:cs="仿宋"/>
          <w:sz w:val="30"/>
          <w:szCs w:val="30"/>
        </w:rPr>
        <w:t>保密承诺书</w:t>
      </w:r>
    </w:p>
    <w:p>
      <w:pPr>
        <w:spacing w:line="360" w:lineRule="auto"/>
        <w:ind w:right="640" w:firstLine="606" w:firstLineChars="202"/>
        <w:jc w:val="right"/>
        <w:rPr>
          <w:rFonts w:hint="eastAsia" w:ascii="仿宋" w:hAnsi="仿宋" w:eastAsia="仿宋" w:cs="仿宋"/>
          <w:sz w:val="30"/>
          <w:szCs w:val="30"/>
        </w:rPr>
      </w:pPr>
      <w:r>
        <w:rPr>
          <w:rFonts w:hint="eastAsia" w:ascii="仿宋" w:hAnsi="仿宋" w:eastAsia="仿宋" w:cs="仿宋"/>
          <w:sz w:val="30"/>
          <w:szCs w:val="30"/>
        </w:rPr>
        <w:t xml:space="preserve">     </w:t>
      </w:r>
    </w:p>
    <w:p>
      <w:pPr>
        <w:spacing w:line="360" w:lineRule="auto"/>
        <w:ind w:right="640" w:firstLine="606" w:firstLineChars="202"/>
        <w:jc w:val="right"/>
        <w:rPr>
          <w:rFonts w:hint="eastAsia" w:ascii="仿宋" w:hAnsi="仿宋" w:eastAsia="仿宋" w:cs="仿宋"/>
          <w:sz w:val="30"/>
          <w:szCs w:val="30"/>
          <w:lang w:eastAsia="zh-CN"/>
        </w:rPr>
      </w:pPr>
      <w:r>
        <w:rPr>
          <w:rFonts w:hint="eastAsia" w:ascii="仿宋" w:hAnsi="仿宋" w:eastAsia="仿宋" w:cs="仿宋"/>
          <w:sz w:val="30"/>
          <w:szCs w:val="30"/>
        </w:rPr>
        <w:t xml:space="preserve"> 采购方：</w:t>
      </w:r>
      <w:r>
        <w:rPr>
          <w:rFonts w:hint="eastAsia" w:ascii="仿宋" w:hAnsi="仿宋" w:eastAsia="仿宋" w:cs="仿宋"/>
          <w:sz w:val="30"/>
          <w:szCs w:val="30"/>
          <w:lang w:eastAsia="zh-CN"/>
        </w:rPr>
        <w:t>内蒙古蒙牛乳业（集团）股份有限公司</w:t>
      </w:r>
    </w:p>
    <w:p>
      <w:pPr>
        <w:spacing w:line="360" w:lineRule="auto"/>
        <w:ind w:right="509"/>
        <w:jc w:val="right"/>
        <w:rPr>
          <w:rFonts w:ascii="仿宋" w:hAnsi="仿宋" w:eastAsia="仿宋" w:cs="仿宋"/>
          <w:sz w:val="30"/>
          <w:szCs w:val="30"/>
        </w:rPr>
      </w:pPr>
      <w:r>
        <w:rPr>
          <w:rFonts w:hint="eastAsia" w:ascii="仿宋" w:hAnsi="仿宋" w:eastAsia="仿宋" w:cs="仿宋"/>
          <w:sz w:val="30"/>
          <w:szCs w:val="30"/>
        </w:rPr>
        <w:t xml:space="preserve">                2024年</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17</w:t>
      </w:r>
      <w:r>
        <w:rPr>
          <w:rFonts w:hint="eastAsia" w:ascii="仿宋" w:hAnsi="仿宋" w:eastAsia="仿宋" w:cs="仿宋"/>
          <w:sz w:val="30"/>
          <w:szCs w:val="30"/>
        </w:rPr>
        <w:t>日</w:t>
      </w:r>
    </w:p>
    <w:p>
      <w:pPr>
        <w:rPr>
          <w:rFonts w:ascii="仿宋" w:hAnsi="仿宋" w:eastAsia="仿宋" w:cs="仿宋"/>
          <w:sz w:val="28"/>
          <w:szCs w:val="28"/>
        </w:rPr>
      </w:pPr>
      <w:bookmarkStart w:id="1" w:name="_GoBack"/>
      <w:bookmarkEnd w:id="1"/>
      <w:r>
        <w:rPr>
          <w:rFonts w:hint="eastAsia" w:ascii="仿宋" w:hAnsi="仿宋" w:eastAsia="仿宋" w:cs="仿宋"/>
          <w:sz w:val="28"/>
          <w:szCs w:val="28"/>
        </w:rPr>
        <w:br w:type="page"/>
      </w:r>
      <w:r>
        <w:rPr>
          <w:rFonts w:hint="eastAsia" w:ascii="仿宋" w:hAnsi="仿宋" w:eastAsia="仿宋" w:cs="仿宋"/>
          <w:sz w:val="28"/>
          <w:szCs w:val="28"/>
        </w:rPr>
        <w:t>附件1：</w:t>
      </w:r>
    </w:p>
    <w:p>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pPr>
        <w:spacing w:line="360" w:lineRule="auto"/>
        <w:jc w:val="center"/>
        <w:rPr>
          <w:rFonts w:ascii="仿宋" w:hAnsi="仿宋" w:eastAsia="仿宋" w:cs="仿宋"/>
          <w:b/>
          <w:szCs w:val="21"/>
        </w:rPr>
      </w:pPr>
    </w:p>
    <w:p>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ascii="仿宋" w:hAnsi="仿宋" w:eastAsia="仿宋" w:cs="仿宋"/>
          <w:b/>
          <w:kern w:val="0"/>
          <w:sz w:val="28"/>
          <w:szCs w:val="28"/>
        </w:rPr>
      </w:pPr>
    </w:p>
    <w:p>
      <w:pPr>
        <w:rPr>
          <w:rFonts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仿宋" w:hAnsi="仿宋" w:eastAsia="仿宋" w:cs="仿宋"/>
                <w:b/>
                <w:kern w:val="0"/>
                <w:sz w:val="28"/>
                <w:szCs w:val="28"/>
              </w:rPr>
            </w:pPr>
          </w:p>
        </w:tc>
        <w:tc>
          <w:tcPr>
            <w:tcW w:w="4350" w:type="dxa"/>
            <w:shd w:val="clear" w:color="auto" w:fill="auto"/>
          </w:tcPr>
          <w:p>
            <w:pPr>
              <w:jc w:val="center"/>
              <w:rPr>
                <w:rFonts w:ascii="仿宋" w:hAnsi="仿宋" w:eastAsia="仿宋" w:cs="仿宋"/>
                <w:b/>
                <w:kern w:val="0"/>
                <w:sz w:val="28"/>
                <w:szCs w:val="28"/>
              </w:rPr>
            </w:pPr>
          </w:p>
        </w:tc>
      </w:tr>
    </w:tbl>
    <w:p>
      <w:pPr>
        <w:rPr>
          <w:rFonts w:ascii="仿宋" w:hAnsi="仿宋" w:eastAsia="仿宋" w:cs="仿宋"/>
          <w:sz w:val="20"/>
          <w:szCs w:val="22"/>
        </w:rPr>
      </w:pPr>
    </w:p>
    <w:p>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pPr>
        <w:jc w:val="center"/>
        <w:rPr>
          <w:rFonts w:ascii="仿宋" w:hAnsi="仿宋" w:eastAsia="仿宋" w:cs="仿宋"/>
          <w:color w:val="000000"/>
          <w:szCs w:val="21"/>
        </w:rPr>
      </w:pP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2024年 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日    </w:t>
      </w:r>
    </w:p>
    <w:p>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6" w:hRule="atLeast"/>
          <w:jc w:val="center"/>
        </w:trPr>
        <w:tc>
          <w:tcPr>
            <w:tcW w:w="4235" w:type="dxa"/>
          </w:tcPr>
          <w:p>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pPr>
        <w:jc w:val="left"/>
        <w:rPr>
          <w:rFonts w:ascii="仿宋" w:hAnsi="仿宋" w:eastAsia="仿宋" w:cs="仿宋"/>
          <w:sz w:val="28"/>
          <w:szCs w:val="28"/>
        </w:rPr>
      </w:pPr>
      <w:r>
        <w:rPr>
          <w:rFonts w:hint="eastAsia" w:ascii="仿宋" w:hAnsi="仿宋" w:eastAsia="仿宋" w:cs="仿宋"/>
          <w:i/>
          <w:color w:val="FF0000"/>
          <w:szCs w:val="21"/>
          <w:shd w:val="clear" w:color="auto" w:fill="FFFFFF"/>
        </w:rPr>
        <w:t>（要求：1、具备社保局出具的材料；2、具备本单位名称及授权委托人姓名，近一年）</w:t>
      </w:r>
    </w:p>
    <w:p>
      <w:pPr>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附件2：</w:t>
      </w:r>
    </w:p>
    <w:p>
      <w:pPr>
        <w:jc w:val="center"/>
        <w:rPr>
          <w:rFonts w:ascii="仿宋" w:hAnsi="仿宋" w:eastAsia="仿宋" w:cs="仿宋"/>
          <w:b/>
          <w:kern w:val="0"/>
          <w:sz w:val="28"/>
          <w:szCs w:val="28"/>
        </w:rPr>
      </w:pPr>
      <w:r>
        <w:rPr>
          <w:rFonts w:hint="eastAsia" w:ascii="仿宋" w:hAnsi="仿宋" w:eastAsia="仿宋" w:cs="仿宋"/>
          <w:b/>
          <w:sz w:val="32"/>
          <w:szCs w:val="32"/>
        </w:rPr>
        <w:t>保密承诺书</w:t>
      </w:r>
    </w:p>
    <w:p>
      <w:pPr>
        <w:widowControl/>
        <w:adjustRightInd w:val="0"/>
        <w:snapToGrid w:val="0"/>
        <w:spacing w:line="44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w:t>
      </w:r>
    </w:p>
    <w:p>
      <w:pPr>
        <w:widowControl/>
        <w:adjustRightInd w:val="0"/>
        <w:snapToGrid w:val="0"/>
        <w:spacing w:line="44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440" w:lineRule="exact"/>
        <w:jc w:val="left"/>
        <w:textAlignment w:val="baseline"/>
        <w:rPr>
          <w:rFonts w:ascii="仿宋" w:hAnsi="仿宋" w:eastAsia="仿宋" w:cs="仿宋"/>
          <w:color w:val="000000"/>
          <w:kern w:val="0"/>
          <w:sz w:val="28"/>
          <w:szCs w:val="28"/>
        </w:rPr>
      </w:pPr>
    </w:p>
    <w:p>
      <w:pPr>
        <w:widowControl/>
        <w:adjustRightInd w:val="0"/>
        <w:snapToGrid w:val="0"/>
        <w:spacing w:line="44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44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440" w:lineRule="exact"/>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lang w:val="en-US" w:eastAsia="zh-CN"/>
        </w:rPr>
        <w:t>研发实验室检验设备竞争性谈判项目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1"/>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1"/>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6"/>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6"/>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6"/>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仿宋"/>
          <w:color w:val="FF0000"/>
          <w:kern w:val="0"/>
          <w:sz w:val="28"/>
          <w:szCs w:val="28"/>
        </w:rPr>
        <w:t>说明：保密期限请业务按照实际需求进行约定，建议最低期限不得低于五年。</w:t>
      </w:r>
      <w:r>
        <w:rPr>
          <w:rFonts w:hint="eastAsia" w:ascii="仿宋" w:hAnsi="仿宋" w:eastAsia="仿宋" w:cs="仿宋"/>
          <w:color w:val="000000"/>
          <w:kern w:val="0"/>
          <w:sz w:val="28"/>
          <w:szCs w:val="28"/>
        </w:rPr>
        <w:t>）</w:t>
      </w:r>
    </w:p>
    <w:p>
      <w:pPr>
        <w:pStyle w:val="5"/>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pPr>
        <w:pStyle w:val="5"/>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5"/>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5"/>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5"/>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5"/>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5"/>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5"/>
        <w:spacing w:after="0"/>
        <w:ind w:firstLine="56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、适用原则：本承诺书中合规条款对乙方的要求与承诺书中其他条款不一致的，以对乙方要求更高的条款为准。</w:t>
      </w:r>
    </w:p>
    <w:p>
      <w:pPr>
        <w:pStyle w:val="5"/>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5"/>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FF0000"/>
          <w:kern w:val="0"/>
          <w:sz w:val="28"/>
          <w:szCs w:val="28"/>
        </w:rPr>
      </w:pPr>
      <w:r>
        <w:rPr>
          <w:rFonts w:hint="eastAsia" w:ascii="仿宋" w:hAnsi="仿宋" w:eastAsia="仿宋" w:cs="仿宋"/>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pPr>
        <w:pStyle w:val="5"/>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5"/>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pPr>
        <w:pStyle w:val="5"/>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pPr>
        <w:spacing w:line="360" w:lineRule="auto"/>
        <w:ind w:left="4830" w:leftChars="2300" w:firstLine="700" w:firstLineChars="250"/>
        <w:rPr>
          <w:rFonts w:ascii="仿宋" w:hAnsi="仿宋" w:eastAsia="仿宋" w:cs="仿宋"/>
          <w:sz w:val="28"/>
          <w:szCs w:val="28"/>
        </w:rPr>
      </w:pPr>
      <w:r>
        <w:rPr>
          <w:rFonts w:hint="eastAsia" w:ascii="仿宋" w:hAnsi="仿宋" w:eastAsia="仿宋" w:cs="仿宋"/>
          <w:sz w:val="28"/>
          <w:szCs w:val="28"/>
        </w:rPr>
        <w:t>　　　　　　　　　　　　　　　　　　　　　　</w:t>
      </w:r>
    </w:p>
    <w:p>
      <w:pPr>
        <w:spacing w:line="360" w:lineRule="auto"/>
        <w:rPr>
          <w:rFonts w:ascii="仿宋" w:hAnsi="仿宋" w:eastAsia="仿宋" w:cs="仿宋"/>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C306A"/>
    <w:multiLevelType w:val="singleLevel"/>
    <w:tmpl w:val="214C306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YmE4YzczMWFmNDdiODc1YWMzNmIxNGE0ODk3OGY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A407F"/>
    <w:rsid w:val="001B0DD4"/>
    <w:rsid w:val="001F00E8"/>
    <w:rsid w:val="001F2DA2"/>
    <w:rsid w:val="00206625"/>
    <w:rsid w:val="00222DA1"/>
    <w:rsid w:val="00224EE3"/>
    <w:rsid w:val="00262594"/>
    <w:rsid w:val="002A5AEF"/>
    <w:rsid w:val="002B60A1"/>
    <w:rsid w:val="002C2C99"/>
    <w:rsid w:val="002C32F1"/>
    <w:rsid w:val="002C35BD"/>
    <w:rsid w:val="002C68EC"/>
    <w:rsid w:val="003078E2"/>
    <w:rsid w:val="0033550B"/>
    <w:rsid w:val="0034169D"/>
    <w:rsid w:val="00343CA2"/>
    <w:rsid w:val="00350D65"/>
    <w:rsid w:val="003706F4"/>
    <w:rsid w:val="00374EB0"/>
    <w:rsid w:val="003E6A69"/>
    <w:rsid w:val="003F341C"/>
    <w:rsid w:val="00404947"/>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D6715"/>
    <w:rsid w:val="006E0EB4"/>
    <w:rsid w:val="0071652C"/>
    <w:rsid w:val="00765172"/>
    <w:rsid w:val="00770044"/>
    <w:rsid w:val="0077132A"/>
    <w:rsid w:val="0077309A"/>
    <w:rsid w:val="00776C95"/>
    <w:rsid w:val="0079218C"/>
    <w:rsid w:val="00795FD5"/>
    <w:rsid w:val="007D6C86"/>
    <w:rsid w:val="007F46E7"/>
    <w:rsid w:val="007F6E68"/>
    <w:rsid w:val="00825BA2"/>
    <w:rsid w:val="0083035A"/>
    <w:rsid w:val="008429BB"/>
    <w:rsid w:val="008A3D3D"/>
    <w:rsid w:val="008B6AB4"/>
    <w:rsid w:val="008D5360"/>
    <w:rsid w:val="008D5433"/>
    <w:rsid w:val="00964DED"/>
    <w:rsid w:val="0098478F"/>
    <w:rsid w:val="009B29A3"/>
    <w:rsid w:val="009E55E3"/>
    <w:rsid w:val="00A13E06"/>
    <w:rsid w:val="00AA46FF"/>
    <w:rsid w:val="00AB49E7"/>
    <w:rsid w:val="00AD23BE"/>
    <w:rsid w:val="00AD5EBB"/>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62414"/>
    <w:rsid w:val="00E8505F"/>
    <w:rsid w:val="00ED18C7"/>
    <w:rsid w:val="00ED340C"/>
    <w:rsid w:val="00ED7CF2"/>
    <w:rsid w:val="00EF0E25"/>
    <w:rsid w:val="00F24A3E"/>
    <w:rsid w:val="00F428E1"/>
    <w:rsid w:val="00F53F17"/>
    <w:rsid w:val="00F74DD0"/>
    <w:rsid w:val="00F95612"/>
    <w:rsid w:val="00F97183"/>
    <w:rsid w:val="00FE7A3A"/>
    <w:rsid w:val="03F23F84"/>
    <w:rsid w:val="04E15122"/>
    <w:rsid w:val="05934B2F"/>
    <w:rsid w:val="06D00A21"/>
    <w:rsid w:val="07144189"/>
    <w:rsid w:val="0B767314"/>
    <w:rsid w:val="0D2D3BD5"/>
    <w:rsid w:val="0E695C3E"/>
    <w:rsid w:val="0EE513EC"/>
    <w:rsid w:val="0FDC4C71"/>
    <w:rsid w:val="108D330C"/>
    <w:rsid w:val="11E6553E"/>
    <w:rsid w:val="1482239D"/>
    <w:rsid w:val="14EE5A47"/>
    <w:rsid w:val="1633252B"/>
    <w:rsid w:val="16C97598"/>
    <w:rsid w:val="177944D5"/>
    <w:rsid w:val="17EE0E8E"/>
    <w:rsid w:val="19377747"/>
    <w:rsid w:val="1A9F1B76"/>
    <w:rsid w:val="1CF6489D"/>
    <w:rsid w:val="1EA14D04"/>
    <w:rsid w:val="1F144A6D"/>
    <w:rsid w:val="1F83032B"/>
    <w:rsid w:val="22063F1F"/>
    <w:rsid w:val="2542194B"/>
    <w:rsid w:val="25961983"/>
    <w:rsid w:val="264B7EE1"/>
    <w:rsid w:val="26941394"/>
    <w:rsid w:val="270E4DAE"/>
    <w:rsid w:val="278E238F"/>
    <w:rsid w:val="291F17B2"/>
    <w:rsid w:val="29536957"/>
    <w:rsid w:val="2A6D53BA"/>
    <w:rsid w:val="31B714AC"/>
    <w:rsid w:val="322F1905"/>
    <w:rsid w:val="32316FE4"/>
    <w:rsid w:val="32390AE7"/>
    <w:rsid w:val="3269689D"/>
    <w:rsid w:val="353E2224"/>
    <w:rsid w:val="35FF348B"/>
    <w:rsid w:val="36DB64B4"/>
    <w:rsid w:val="37A00005"/>
    <w:rsid w:val="384D672F"/>
    <w:rsid w:val="39C60887"/>
    <w:rsid w:val="3A7F6E47"/>
    <w:rsid w:val="3AAF36D1"/>
    <w:rsid w:val="3B022A46"/>
    <w:rsid w:val="3B47734A"/>
    <w:rsid w:val="3C2F7E55"/>
    <w:rsid w:val="3C73383A"/>
    <w:rsid w:val="3DFA1B26"/>
    <w:rsid w:val="3E7C2FF2"/>
    <w:rsid w:val="3F2C2ECC"/>
    <w:rsid w:val="403D4BB1"/>
    <w:rsid w:val="41097B03"/>
    <w:rsid w:val="43E16FE0"/>
    <w:rsid w:val="465C56F8"/>
    <w:rsid w:val="47217705"/>
    <w:rsid w:val="47777325"/>
    <w:rsid w:val="4ACA2622"/>
    <w:rsid w:val="4AE37BCA"/>
    <w:rsid w:val="4CA30BBC"/>
    <w:rsid w:val="4D5F1E7C"/>
    <w:rsid w:val="4D607384"/>
    <w:rsid w:val="50A03474"/>
    <w:rsid w:val="528E718F"/>
    <w:rsid w:val="57CF3174"/>
    <w:rsid w:val="58684AEE"/>
    <w:rsid w:val="58DC4656"/>
    <w:rsid w:val="5A4A4BFD"/>
    <w:rsid w:val="5AA00562"/>
    <w:rsid w:val="5BE56863"/>
    <w:rsid w:val="5BE81CEB"/>
    <w:rsid w:val="5D042FBF"/>
    <w:rsid w:val="5D400DEA"/>
    <w:rsid w:val="5E471B5C"/>
    <w:rsid w:val="5E5031E6"/>
    <w:rsid w:val="5FAD37A1"/>
    <w:rsid w:val="60471EC4"/>
    <w:rsid w:val="61A3723C"/>
    <w:rsid w:val="61F65C15"/>
    <w:rsid w:val="63BD6F77"/>
    <w:rsid w:val="65385EEE"/>
    <w:rsid w:val="65E17999"/>
    <w:rsid w:val="65E63B9C"/>
    <w:rsid w:val="65EE02F9"/>
    <w:rsid w:val="66EC04FA"/>
    <w:rsid w:val="69EE3358"/>
    <w:rsid w:val="6A05798A"/>
    <w:rsid w:val="6BB439D8"/>
    <w:rsid w:val="6DB75504"/>
    <w:rsid w:val="717E46C9"/>
    <w:rsid w:val="71D01D3E"/>
    <w:rsid w:val="76B13D52"/>
    <w:rsid w:val="77CE4490"/>
    <w:rsid w:val="7A6F06F6"/>
    <w:rsid w:val="BEDD666A"/>
    <w:rsid w:val="FDDFB8B1"/>
    <w:rsid w:val="FFDF07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9"/>
    <w:pPr>
      <w:keepNext/>
      <w:keepLines/>
      <w:widowControl/>
      <w:spacing w:before="120" w:after="120"/>
      <w:jc w:val="center"/>
      <w:outlineLvl w:val="3"/>
    </w:pPr>
    <w:rPr>
      <w:rFonts w:ascii="Arial" w:hAnsi="Arial" w:eastAsia="黑体"/>
      <w:kern w:val="0"/>
      <w:sz w:val="28"/>
      <w:szCs w:val="20"/>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ind w:firstLine="420"/>
    </w:pPr>
    <w:rPr>
      <w:szCs w:val="20"/>
    </w:rPr>
  </w:style>
  <w:style w:type="paragraph" w:styleId="4">
    <w:name w:val="annotation text"/>
    <w:basedOn w:val="1"/>
    <w:autoRedefine/>
    <w:semiHidden/>
    <w:unhideWhenUsed/>
    <w:qFormat/>
    <w:uiPriority w:val="99"/>
    <w:pPr>
      <w:jc w:val="left"/>
    </w:pPr>
  </w:style>
  <w:style w:type="paragraph" w:styleId="5">
    <w:name w:val="Body Text"/>
    <w:basedOn w:val="1"/>
    <w:next w:val="1"/>
    <w:autoRedefine/>
    <w:qFormat/>
    <w:uiPriority w:val="0"/>
    <w:pPr>
      <w:widowControl/>
      <w:spacing w:after="120" w:line="360" w:lineRule="auto"/>
      <w:ind w:firstLine="200" w:firstLineChars="200"/>
    </w:pPr>
    <w:rPr>
      <w:rFonts w:ascii="宋体"/>
      <w:kern w:val="0"/>
      <w:szCs w:val="20"/>
    </w:rPr>
  </w:style>
  <w:style w:type="paragraph" w:styleId="6">
    <w:name w:val="Body Text Indent"/>
    <w:basedOn w:val="1"/>
    <w:autoRedefine/>
    <w:qFormat/>
    <w:uiPriority w:val="0"/>
    <w:pPr>
      <w:spacing w:line="360" w:lineRule="auto"/>
      <w:ind w:firstLine="420"/>
    </w:pPr>
    <w:rPr>
      <w:szCs w:val="20"/>
    </w:rPr>
  </w:style>
  <w:style w:type="paragraph" w:styleId="7">
    <w:name w:val="Plain Text"/>
    <w:basedOn w:val="1"/>
    <w:next w:val="2"/>
    <w:autoRedefine/>
    <w:qFormat/>
    <w:uiPriority w:val="0"/>
    <w:rPr>
      <w:rFonts w:ascii="宋体" w:hAnsi="Courier New" w:cs="Courier New"/>
      <w:szCs w:val="21"/>
    </w:rPr>
  </w:style>
  <w:style w:type="paragraph" w:styleId="8">
    <w:name w:val="Balloon Text"/>
    <w:basedOn w:val="1"/>
    <w:link w:val="20"/>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autoRedefine/>
    <w:qFormat/>
    <w:uiPriority w:val="0"/>
    <w:pPr>
      <w:ind w:left="720"/>
    </w:pPr>
    <w:rPr>
      <w:szCs w:val="20"/>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2"/>
    <w:basedOn w:val="6"/>
    <w:autoRedefine/>
    <w:unhideWhenUsed/>
    <w:qFormat/>
    <w:uiPriority w:val="0"/>
    <w:pPr>
      <w:ind w:firstLine="420" w:firstLineChars="200"/>
    </w:pPr>
  </w:style>
  <w:style w:type="character" w:styleId="16">
    <w:name w:val="page number"/>
    <w:basedOn w:val="15"/>
    <w:autoRedefine/>
    <w:qFormat/>
    <w:uiPriority w:val="0"/>
  </w:style>
  <w:style w:type="character" w:styleId="17">
    <w:name w:val="Hyperlink"/>
    <w:basedOn w:val="15"/>
    <w:autoRedefine/>
    <w:qFormat/>
    <w:uiPriority w:val="0"/>
    <w:rPr>
      <w:color w:val="0000FF"/>
      <w:u w:val="none"/>
    </w:rPr>
  </w:style>
  <w:style w:type="character" w:customStyle="1" w:styleId="18">
    <w:name w:val="页眉 字符"/>
    <w:basedOn w:val="15"/>
    <w:link w:val="10"/>
    <w:autoRedefine/>
    <w:qFormat/>
    <w:uiPriority w:val="99"/>
    <w:rPr>
      <w:sz w:val="18"/>
      <w:szCs w:val="18"/>
    </w:rPr>
  </w:style>
  <w:style w:type="character" w:customStyle="1" w:styleId="19">
    <w:name w:val="页脚 字符"/>
    <w:basedOn w:val="15"/>
    <w:link w:val="9"/>
    <w:autoRedefine/>
    <w:qFormat/>
    <w:uiPriority w:val="99"/>
    <w:rPr>
      <w:sz w:val="18"/>
      <w:szCs w:val="18"/>
    </w:rPr>
  </w:style>
  <w:style w:type="character" w:customStyle="1" w:styleId="20">
    <w:name w:val="批注框文本 字符"/>
    <w:basedOn w:val="15"/>
    <w:link w:val="8"/>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8007</Words>
  <Characters>8798</Characters>
  <Lines>62</Lines>
  <Paragraphs>17</Paragraphs>
  <TotalTime>4</TotalTime>
  <ScaleCrop>false</ScaleCrop>
  <LinksUpToDate>false</LinksUpToDate>
  <CharactersWithSpaces>9496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李红颖</cp:lastModifiedBy>
  <dcterms:modified xsi:type="dcterms:W3CDTF">2024-06-17T02:07:31Z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9076AF35751748A6B95FB65D8BC15B80_13</vt:lpwstr>
  </property>
</Properties>
</file>