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C2B9B">
      <w:pPr>
        <w:widowControl/>
        <w:shd w:val="clear" w:color="auto" w:fill="FFFFFF"/>
        <w:adjustRightInd w:val="0"/>
        <w:snapToGrid w:val="0"/>
        <w:spacing w:line="360" w:lineRule="auto"/>
        <w:jc w:val="center"/>
        <w:rPr>
          <w:rFonts w:hint="eastAsia" w:ascii="仿宋" w:hAnsi="仿宋" w:eastAsia="仿宋" w:cs="仿宋"/>
          <w:b/>
          <w:bCs/>
          <w:kern w:val="0"/>
          <w:sz w:val="30"/>
          <w:szCs w:val="30"/>
        </w:rPr>
      </w:pPr>
      <w:r>
        <w:rPr>
          <w:rFonts w:hint="eastAsia" w:ascii="仿宋" w:hAnsi="仿宋" w:eastAsia="仿宋" w:cs="仿宋"/>
          <w:b/>
          <w:bCs/>
          <w:kern w:val="0"/>
          <w:sz w:val="30"/>
          <w:szCs w:val="30"/>
        </w:rPr>
        <w:t>蒙牛乳业常温高科工厂包装空调系统风管高度提升改造项目</w:t>
      </w:r>
    </w:p>
    <w:p w14:paraId="1A5A1BB4">
      <w:pPr>
        <w:widowControl/>
        <w:shd w:val="clear" w:color="auto" w:fill="FFFFFF"/>
        <w:adjustRightInd w:val="0"/>
        <w:snapToGrid w:val="0"/>
        <w:spacing w:line="360" w:lineRule="auto"/>
        <w:jc w:val="center"/>
        <w:rPr>
          <w:rFonts w:ascii="仿宋" w:hAnsi="仿宋" w:eastAsia="仿宋" w:cs="仿宋"/>
          <w:b/>
          <w:bCs/>
          <w:kern w:val="0"/>
          <w:sz w:val="30"/>
          <w:szCs w:val="30"/>
        </w:rPr>
      </w:pPr>
      <w:r>
        <w:rPr>
          <w:rFonts w:hint="eastAsia" w:ascii="仿宋" w:hAnsi="仿宋" w:eastAsia="仿宋" w:cs="仿宋"/>
          <w:b/>
          <w:bCs/>
          <w:kern w:val="0"/>
          <w:sz w:val="30"/>
          <w:szCs w:val="30"/>
        </w:rPr>
        <w:t>询比价公告</w:t>
      </w:r>
    </w:p>
    <w:p w14:paraId="774B7330">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内蒙古蒙牛乳业(集团)股份有限公司，现对蒙牛乳业常温高科工厂包装空调系统风管高度提升改造项目询比价招标，欢迎符合资格条件的投标人参加。</w:t>
      </w:r>
    </w:p>
    <w:p w14:paraId="6C21B1F2">
      <w:pPr>
        <w:numPr>
          <w:ilvl w:val="0"/>
          <w:numId w:val="1"/>
        </w:numPr>
        <w:adjustRightInd w:val="0"/>
        <w:snapToGrid w:val="0"/>
        <w:spacing w:line="360" w:lineRule="auto"/>
        <w:ind w:firstLine="482" w:firstLineChars="200"/>
        <w:rPr>
          <w:rFonts w:hint="eastAsia" w:ascii="仿宋" w:hAnsi="仿宋" w:eastAsia="仿宋"/>
          <w:sz w:val="24"/>
          <w:lang w:val="en-US" w:eastAsia="zh-CN"/>
        </w:rPr>
      </w:pPr>
      <w:r>
        <w:rPr>
          <w:rFonts w:hint="eastAsia" w:ascii="仿宋" w:hAnsi="仿宋" w:eastAsia="仿宋" w:cs="仿宋"/>
          <w:b/>
          <w:bCs/>
          <w:sz w:val="24"/>
        </w:rPr>
        <w:t>项目编号：</w:t>
      </w:r>
      <w:r>
        <w:rPr>
          <w:rFonts w:hint="eastAsia" w:ascii="仿宋" w:hAnsi="仿宋" w:eastAsia="仿宋"/>
          <w:sz w:val="24"/>
          <w:lang w:val="en-US" w:eastAsia="zh-CN"/>
        </w:rPr>
        <w:t>MNCGJH-20240702-0017</w:t>
      </w:r>
    </w:p>
    <w:p w14:paraId="637C8621">
      <w:pPr>
        <w:numPr>
          <w:ilvl w:val="0"/>
          <w:numId w:val="0"/>
        </w:numPr>
        <w:adjustRightInd w:val="0"/>
        <w:snapToGrid w:val="0"/>
        <w:spacing w:line="360" w:lineRule="auto"/>
        <w:ind w:firstLine="482" w:firstLineChars="200"/>
        <w:rPr>
          <w:rFonts w:hint="eastAsia" w:ascii="仿宋" w:hAnsi="仿宋" w:eastAsia="仿宋"/>
          <w:sz w:val="24"/>
          <w:lang w:val="en-US" w:eastAsia="zh-CN"/>
        </w:rPr>
      </w:pPr>
      <w:r>
        <w:rPr>
          <w:rFonts w:hint="eastAsia" w:ascii="仿宋" w:hAnsi="仿宋" w:eastAsia="仿宋" w:cs="仿宋"/>
          <w:b/>
          <w:sz w:val="24"/>
        </w:rPr>
        <w:t>二、项目名称</w:t>
      </w:r>
      <w:r>
        <w:rPr>
          <w:rFonts w:hint="eastAsia" w:ascii="仿宋" w:hAnsi="仿宋" w:eastAsia="仿宋" w:cs="仿宋"/>
          <w:sz w:val="24"/>
        </w:rPr>
        <w:t>：</w:t>
      </w:r>
      <w:r>
        <w:rPr>
          <w:rFonts w:hint="eastAsia" w:ascii="仿宋" w:hAnsi="仿宋" w:eastAsia="仿宋"/>
          <w:sz w:val="24"/>
          <w:lang w:val="en-US" w:eastAsia="zh-CN"/>
        </w:rPr>
        <w:t>蒙牛乳业常温高科工厂包装空调系统风管高度提升改造项目</w:t>
      </w:r>
    </w:p>
    <w:p w14:paraId="6C123EC7">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三、项目概况：</w:t>
      </w:r>
    </w:p>
    <w:p w14:paraId="4C926B83">
      <w:pPr>
        <w:adjustRightInd w:val="0"/>
        <w:snapToGrid w:val="0"/>
        <w:spacing w:line="360" w:lineRule="auto"/>
        <w:ind w:firstLine="480" w:firstLineChars="200"/>
        <w:jc w:val="left"/>
        <w:rPr>
          <w:rFonts w:hint="default" w:ascii="仿宋" w:hAnsi="仿宋" w:eastAsia="仿宋"/>
          <w:sz w:val="24"/>
          <w:lang w:val="en-US" w:eastAsia="zh-CN"/>
        </w:rPr>
      </w:pPr>
      <w:r>
        <w:rPr>
          <w:rFonts w:hint="default" w:ascii="仿宋" w:hAnsi="仿宋" w:eastAsia="仿宋"/>
          <w:sz w:val="24"/>
          <w:lang w:val="en-US" w:eastAsia="zh-CN"/>
        </w:rPr>
        <w:t>基地大区高科工厂为保障车间生产环境，为员工提供安全舒心的工作场所，改善车间“冬冷夏热”现象，工厂计划在包装车间内实施岗位送风，送风管道结合实际需求、节能因素、自动化效果呈现及改善现场空间优化效果等做改造。经过现场讨论需对风管位置进行改善，在不影响使用效果情况下将风管移到空中小车顶部，并将风管形状进行升级优化，以保证使用效果和参观效果。</w:t>
      </w:r>
    </w:p>
    <w:p w14:paraId="42C9E6B2">
      <w:pPr>
        <w:adjustRightInd w:val="0"/>
        <w:snapToGrid w:val="0"/>
        <w:spacing w:line="360" w:lineRule="auto"/>
        <w:ind w:firstLine="480" w:firstLineChars="200"/>
        <w:jc w:val="left"/>
        <w:rPr>
          <w:rFonts w:hint="default" w:ascii="仿宋" w:hAnsi="仿宋" w:eastAsia="仿宋"/>
          <w:sz w:val="24"/>
          <w:lang w:val="en-US" w:eastAsia="zh-CN"/>
        </w:rPr>
      </w:pPr>
      <w:r>
        <w:rPr>
          <w:rFonts w:hint="default" w:ascii="仿宋" w:hAnsi="仿宋" w:eastAsia="仿宋"/>
          <w:sz w:val="24"/>
          <w:lang w:val="en-US" w:eastAsia="zh-CN"/>
        </w:rPr>
        <w:t>实现功能：满足岗位送风需求、优化现场空间、要有节能设计、参观效果满足工厂要求；</w:t>
      </w:r>
    </w:p>
    <w:p w14:paraId="25FAD1D0">
      <w:pPr>
        <w:adjustRightInd w:val="0"/>
        <w:snapToGrid w:val="0"/>
        <w:spacing w:line="360" w:lineRule="auto"/>
        <w:ind w:firstLine="480" w:firstLineChars="200"/>
        <w:jc w:val="left"/>
        <w:rPr>
          <w:rFonts w:hint="default" w:ascii="仿宋" w:hAnsi="仿宋" w:eastAsia="仿宋"/>
          <w:sz w:val="24"/>
          <w:lang w:val="en-US" w:eastAsia="zh-CN"/>
        </w:rPr>
      </w:pPr>
      <w:r>
        <w:rPr>
          <w:rFonts w:hint="default" w:ascii="仿宋" w:hAnsi="仿宋" w:eastAsia="仿宋"/>
          <w:sz w:val="24"/>
          <w:lang w:val="en-US" w:eastAsia="zh-CN"/>
        </w:rPr>
        <w:t>配置要求：施工要求1、对整体工程提供不停产施工方案，施工排期表2、对整体的施工组织机构、质量保证措施、质量通病及施工难点提出应 对措施的方案。3.对整体安全管理，组织机构、职责分工、施工安全防护措施、安全应 急预案、高空作业、交叉作业、防尘防爆安全措施等内容制定方案。指项目软件、硬件配置、技术规格、质量标准、工艺标准等要求，包含品牌设置</w:t>
      </w:r>
    </w:p>
    <w:p w14:paraId="05D8B729">
      <w:pPr>
        <w:adjustRightInd w:val="0"/>
        <w:snapToGrid w:val="0"/>
        <w:spacing w:line="360" w:lineRule="auto"/>
        <w:ind w:firstLine="480" w:firstLineChars="200"/>
        <w:jc w:val="left"/>
        <w:rPr>
          <w:rFonts w:hint="eastAsia" w:ascii="仿宋" w:hAnsi="仿宋" w:eastAsia="仿宋"/>
          <w:sz w:val="24"/>
          <w:lang w:val="en-US" w:eastAsia="zh-CN"/>
        </w:rPr>
      </w:pPr>
      <w:r>
        <w:rPr>
          <w:rFonts w:hint="default" w:ascii="仿宋" w:hAnsi="仿宋" w:eastAsia="仿宋"/>
          <w:sz w:val="24"/>
          <w:lang w:val="en-US" w:eastAsia="zh-CN"/>
        </w:rPr>
        <w:t>工作范围：把高科包装车间空中小车南侧的空调风管拆除后拆成单块洁净板，并把原有的风管不锈钢方钢支架拆下后，焊接成与风管匹配的支架放在空中小车顶部。并把拆除的单块洁净板组装成合格的风管安装到空中小车焊接好的不锈钢支架顶部。过程中做好安全防护，最终必须具备正常使用功能。</w:t>
      </w:r>
    </w:p>
    <w:p w14:paraId="212BE86B">
      <w:pPr>
        <w:adjustRightInd w:val="0"/>
        <w:snapToGrid w:val="0"/>
        <w:spacing w:line="360" w:lineRule="auto"/>
        <w:ind w:firstLine="482" w:firstLineChars="200"/>
        <w:jc w:val="left"/>
        <w:rPr>
          <w:rFonts w:ascii="仿宋" w:hAnsi="仿宋" w:eastAsia="仿宋" w:cs="仿宋"/>
          <w:b/>
          <w:color w:val="000000"/>
          <w:sz w:val="24"/>
        </w:rPr>
      </w:pPr>
      <w:r>
        <w:rPr>
          <w:rFonts w:hint="eastAsia" w:ascii="仿宋" w:hAnsi="仿宋" w:eastAsia="仿宋" w:cs="仿宋"/>
          <w:b/>
          <w:color w:val="000000"/>
          <w:sz w:val="24"/>
        </w:rPr>
        <w:t>四、资格要求</w:t>
      </w:r>
    </w:p>
    <w:p w14:paraId="1281836E">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竞价人须在中华人民共和国境内注册并具有独立法人资格，公司注册资金在300万元人民币及以上（外币按注册时汇率计算）。以企业营业执照为准；且具有有效的开户行许可证。</w:t>
      </w:r>
    </w:p>
    <w:p w14:paraId="015CD137">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 xml:space="preserve">竞价人须具有建设行政主管部门颁发的机电工程施工总承包叁级及以上资质或建筑机电安装工程专业承包叁级及以上资质； </w:t>
      </w:r>
    </w:p>
    <w:p w14:paraId="2CCA2958">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 xml:space="preserve">竞价人拟派项目经理须为在本企业注册的建造师，具备机电专业二级及以上注册建造师执业资格和有效的安全生产考核合格证书； </w:t>
      </w:r>
    </w:p>
    <w:p w14:paraId="59A520C0">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 xml:space="preserve">竞价人须具有2022年1月1日-至今完成类似项目至少两个（以合同及经建设单位确认的验收单为准）； </w:t>
      </w:r>
    </w:p>
    <w:p w14:paraId="2D966939">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竞价人具有有效的安全生产许可证。</w:t>
      </w:r>
    </w:p>
    <w:p w14:paraId="58115C9A">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竞价人须具有良好的商业信誉和财务状况，提供近三年财务报表或近三年财务审计报告（2020、2021、2022年或2021、2022、2023年）；</w:t>
      </w:r>
    </w:p>
    <w:p w14:paraId="47391EBF">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竞价人须是一般纳税人</w:t>
      </w:r>
    </w:p>
    <w:p w14:paraId="05EF2486">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竞价人须具有近1年任意3个月的依法纳税证明材料和社保缴纳证明材料；</w:t>
      </w:r>
    </w:p>
    <w:p w14:paraId="49F08D0F">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竞价人未被列入国家企业信用信息公示系统（http://www.gsxt.gov.cn/index.html）严重违法失信企业名单。</w:t>
      </w:r>
    </w:p>
    <w:p w14:paraId="2462FECF">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竞价人在“中华人民共和国应急管理部（https://www.mem.gov.cn/）”近一年内无公开曝光的安全事件.</w:t>
      </w:r>
    </w:p>
    <w:p w14:paraId="6BD02AD3">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与采购人存在利害关系可能影响采购招标公正性的法人、其他组织或者个人，不得参加投标；单位负责人为同一人或者存在控股、管理关系的不同单位，不得参加同一标段投标或者未划分标段的同一招标项目投标；存在以上情况的，在通过资格预审的情况下，允许最先报名的潜在竞谈人参与竞谈；</w:t>
      </w:r>
    </w:p>
    <w:p w14:paraId="287E2E85">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本次竞谈不接受多家单位联合报价，不允许分包或转包；</w:t>
      </w:r>
    </w:p>
    <w:p w14:paraId="11905F4F">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不接受中粮及蒙牛供应商黑名单（以蒙牛集团采购招标管理部下发的黑名单为准）的企业参与竞争</w:t>
      </w:r>
    </w:p>
    <w:p w14:paraId="1AC7E192">
      <w:pPr>
        <w:adjustRightInd w:val="0"/>
        <w:snapToGrid w:val="0"/>
        <w:spacing w:line="360" w:lineRule="auto"/>
        <w:ind w:firstLine="482" w:firstLineChars="200"/>
        <w:rPr>
          <w:rFonts w:ascii="仿宋" w:hAnsi="仿宋" w:eastAsia="仿宋" w:cs="仿宋"/>
          <w:b/>
          <w:i/>
          <w:color w:val="FF0000"/>
          <w:sz w:val="24"/>
        </w:rPr>
      </w:pPr>
      <w:r>
        <w:rPr>
          <w:rFonts w:hint="eastAsia" w:ascii="仿宋" w:hAnsi="仿宋" w:eastAsia="仿宋" w:cs="仿宋"/>
          <w:b/>
          <w:color w:val="000000"/>
          <w:sz w:val="24"/>
        </w:rPr>
        <w:t>五、报名须知</w:t>
      </w:r>
    </w:p>
    <w:p w14:paraId="0261102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报名资格文件的组成按照如下要求提供：</w:t>
      </w:r>
    </w:p>
    <w:p w14:paraId="49DEAEC0">
      <w:pPr>
        <w:pStyle w:val="23"/>
        <w:numPr>
          <w:ilvl w:val="0"/>
          <w:numId w:val="3"/>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cs="仿宋"/>
          <w:color w:val="000000"/>
          <w:sz w:val="24"/>
        </w:rPr>
        <w:t>提供有效的营业执照（副本）；有效的开户行许可证/基本存款证明材料</w:t>
      </w:r>
      <w:r>
        <w:rPr>
          <w:rFonts w:hint="eastAsia" w:ascii="仿宋" w:hAnsi="仿宋" w:eastAsia="仿宋" w:cs="仿宋"/>
          <w:color w:val="000000"/>
          <w:sz w:val="24"/>
          <w:lang w:eastAsia="zh-CN"/>
        </w:rPr>
        <w:t>；</w:t>
      </w:r>
      <w:r>
        <w:rPr>
          <w:rFonts w:hint="eastAsia" w:ascii="仿宋" w:hAnsi="仿宋" w:eastAsia="仿宋"/>
          <w:sz w:val="24"/>
          <w:lang w:val="en-US" w:eastAsia="zh-CN"/>
        </w:rPr>
        <w:t>提供法定代表人证明书或授权委托书（附件1）；</w:t>
      </w:r>
    </w:p>
    <w:p w14:paraId="798A9381">
      <w:pPr>
        <w:pStyle w:val="23"/>
        <w:numPr>
          <w:ilvl w:val="0"/>
          <w:numId w:val="3"/>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sz w:val="24"/>
          <w:lang w:val="en-US" w:eastAsia="zh-CN"/>
        </w:rPr>
        <w:t>提供建设行政主管部门颁发的机电工程施工总承包叁级及以上资质或建筑机电安装工程专业承包叁级专业承包的资质证明资料。</w:t>
      </w:r>
    </w:p>
    <w:p w14:paraId="46C5070B">
      <w:pPr>
        <w:pStyle w:val="23"/>
        <w:numPr>
          <w:ilvl w:val="0"/>
          <w:numId w:val="3"/>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sz w:val="24"/>
          <w:lang w:val="en-US" w:eastAsia="zh-CN"/>
        </w:rPr>
        <w:t>提供本企业注册的二级及以上建造师注册证书和有效的安全生产考核合格证书。</w:t>
      </w:r>
    </w:p>
    <w:p w14:paraId="2591E8AD">
      <w:pPr>
        <w:pStyle w:val="23"/>
        <w:numPr>
          <w:ilvl w:val="0"/>
          <w:numId w:val="3"/>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sz w:val="24"/>
          <w:lang w:val="en-US" w:eastAsia="zh-CN"/>
        </w:rPr>
        <w:t>提供2022年1月1日-至今至少两个类似项目的业绩资料（以合同及经建设单位确认的验收单为准）</w:t>
      </w:r>
    </w:p>
    <w:p w14:paraId="7B6ACFF8">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提供有效的安全生产许可证证明资料。</w:t>
      </w:r>
    </w:p>
    <w:p w14:paraId="0729FBAB">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color w:val="000000"/>
          <w:sz w:val="24"/>
          <w:lang w:val="en-US" w:eastAsia="zh-CN"/>
        </w:rPr>
      </w:pPr>
      <w:r>
        <w:rPr>
          <w:rFonts w:hint="eastAsia" w:ascii="仿宋" w:hAnsi="仿宋" w:eastAsia="仿宋"/>
          <w:sz w:val="24"/>
          <w:lang w:val="en-US" w:eastAsia="zh-CN"/>
        </w:rPr>
        <w:t>竞价人须提供三年财务报表或近三年财务审计报告（2020、2021、2022年或2021、2022、2023年）证明资料。</w:t>
      </w:r>
    </w:p>
    <w:p w14:paraId="49A4C597">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提供一般纳税人认定资格证明材料以及</w:t>
      </w:r>
      <w:r>
        <w:rPr>
          <w:rFonts w:hint="eastAsia" w:ascii="仿宋" w:hAnsi="仿宋" w:eastAsia="仿宋" w:cs="仿宋"/>
          <w:color w:val="000000"/>
          <w:sz w:val="24"/>
        </w:rPr>
        <w:t>能开</w:t>
      </w:r>
      <w:r>
        <w:rPr>
          <w:rFonts w:hint="eastAsia" w:ascii="仿宋" w:hAnsi="仿宋" w:eastAsia="仿宋" w:cs="仿宋"/>
          <w:color w:val="000000"/>
          <w:sz w:val="24"/>
          <w:lang w:val="en-US" w:eastAsia="zh-CN"/>
        </w:rPr>
        <w:t>具9</w:t>
      </w:r>
      <w:r>
        <w:rPr>
          <w:rFonts w:hint="eastAsia" w:ascii="仿宋" w:hAnsi="仿宋" w:eastAsia="仿宋" w:cs="仿宋"/>
          <w:color w:val="000000"/>
          <w:sz w:val="24"/>
        </w:rPr>
        <w:t>%增值税</w:t>
      </w:r>
      <w:r>
        <w:rPr>
          <w:rFonts w:hint="eastAsia" w:ascii="仿宋" w:hAnsi="仿宋" w:eastAsia="仿宋" w:cs="仿宋"/>
          <w:color w:val="000000"/>
          <w:sz w:val="24"/>
          <w:lang w:val="en-US" w:eastAsia="zh-CN"/>
        </w:rPr>
        <w:t>专用</w:t>
      </w:r>
      <w:r>
        <w:rPr>
          <w:rFonts w:hint="eastAsia" w:ascii="仿宋" w:hAnsi="仿宋" w:eastAsia="仿宋" w:cs="仿宋"/>
          <w:color w:val="000000"/>
          <w:sz w:val="24"/>
        </w:rPr>
        <w:t>发票的资格</w:t>
      </w:r>
      <w:r>
        <w:rPr>
          <w:rFonts w:hint="eastAsia" w:ascii="仿宋" w:hAnsi="仿宋" w:eastAsia="仿宋" w:cs="仿宋"/>
          <w:color w:val="000000"/>
          <w:sz w:val="24"/>
          <w:lang w:val="en-US" w:eastAsia="zh-CN"/>
        </w:rPr>
        <w:t>证明。</w:t>
      </w:r>
    </w:p>
    <w:p w14:paraId="56896828">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提供</w:t>
      </w:r>
      <w:r>
        <w:rPr>
          <w:rFonts w:hint="eastAsia" w:ascii="仿宋" w:hAnsi="仿宋" w:eastAsia="仿宋" w:cs="仿宋"/>
          <w:color w:val="000000"/>
          <w:sz w:val="24"/>
        </w:rPr>
        <w:t>企业最近1年任意3个月的依法纳税缴纳证明材料和社保缴纳证明</w:t>
      </w:r>
      <w:r>
        <w:rPr>
          <w:rFonts w:hint="eastAsia" w:ascii="仿宋" w:hAnsi="仿宋" w:eastAsia="仿宋" w:cs="仿宋"/>
          <w:color w:val="000000"/>
          <w:sz w:val="24"/>
          <w:lang w:val="en-US" w:eastAsia="zh-CN"/>
        </w:rPr>
        <w:t>材料。</w:t>
      </w:r>
    </w:p>
    <w:p w14:paraId="66039553">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提供未被列入国家企业信用信息公示系统（</w:t>
      </w:r>
      <w:r>
        <w:rPr>
          <w:rFonts w:hint="eastAsia" w:ascii="仿宋" w:hAnsi="仿宋" w:eastAsia="仿宋" w:cs="仿宋"/>
          <w:color w:val="000000"/>
          <w:sz w:val="24"/>
        </w:rPr>
        <w:fldChar w:fldCharType="begin"/>
      </w:r>
      <w:r>
        <w:rPr>
          <w:rFonts w:hint="eastAsia" w:ascii="仿宋" w:hAnsi="仿宋" w:eastAsia="仿宋" w:cs="仿宋"/>
          <w:color w:val="000000"/>
          <w:sz w:val="24"/>
        </w:rPr>
        <w:instrText xml:space="preserve"> HYPERLINK "http://www.gsxt.gov.cn/index.html%EF%BC%89%E4%B8%A5%E9%87%8D%E8%BF%9D%E6%B3%95%E5%A4%B1%E4%BF%A1%E4%BC%81%E4%B8%9A%E5%90%8D%E5%8D%95" \t "_blank" </w:instrText>
      </w:r>
      <w:r>
        <w:rPr>
          <w:rFonts w:hint="eastAsia" w:ascii="仿宋" w:hAnsi="仿宋" w:eastAsia="仿宋" w:cs="仿宋"/>
          <w:color w:val="000000"/>
          <w:sz w:val="24"/>
        </w:rPr>
        <w:fldChar w:fldCharType="separate"/>
      </w:r>
      <w:r>
        <w:rPr>
          <w:rFonts w:hint="eastAsia" w:ascii="仿宋" w:hAnsi="仿宋" w:eastAsia="仿宋" w:cs="仿宋"/>
          <w:color w:val="000000"/>
          <w:sz w:val="24"/>
        </w:rPr>
        <w:t>http://www.gsxt.gov.cn/index.html）严重违法失信企业名单</w:t>
      </w:r>
      <w:r>
        <w:rPr>
          <w:rFonts w:hint="eastAsia" w:ascii="仿宋" w:hAnsi="仿宋" w:eastAsia="仿宋" w:cs="仿宋"/>
          <w:color w:val="000000"/>
          <w:sz w:val="24"/>
        </w:rPr>
        <w:fldChar w:fldCharType="end"/>
      </w:r>
      <w:r>
        <w:rPr>
          <w:rFonts w:hint="eastAsia" w:ascii="仿宋" w:hAnsi="仿宋" w:eastAsia="仿宋" w:cs="仿宋"/>
          <w:color w:val="000000"/>
          <w:sz w:val="24"/>
        </w:rPr>
        <w:t>证明材料。</w:t>
      </w:r>
    </w:p>
    <w:p w14:paraId="788F09F7">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提供在“中华人民共和国应急管理部（https://www.mem.gov.cn/）”近一年内无公开曝光的安全事件证明材料；</w:t>
      </w:r>
    </w:p>
    <w:p w14:paraId="407B3DB8">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提供潜在竞价单位报名提供信息表（附件2）</w:t>
      </w:r>
    </w:p>
    <w:p w14:paraId="4BCA0564">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提供保密承诺书（附件3）</w:t>
      </w:r>
    </w:p>
    <w:p w14:paraId="1E1ED260">
      <w:pPr>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本项目采用全流程电子化招标采购方式，以上各类证书、证明材料应为原件的扫描件或复印件加盖公章，并于报名截止时间前在</w:t>
      </w:r>
      <w:bookmarkStart w:id="0" w:name="_Toc122871895"/>
      <w:r>
        <w:rPr>
          <w:rFonts w:hint="eastAsia" w:ascii="仿宋" w:hAnsi="仿宋" w:eastAsia="仿宋" w:cs="仿宋"/>
          <w:color w:val="000000"/>
          <w:sz w:val="24"/>
        </w:rPr>
        <w:t>“蒙牛集团电子采购招标平台（</w:t>
      </w:r>
      <w:r>
        <w:fldChar w:fldCharType="begin"/>
      </w:r>
      <w:r>
        <w:instrText xml:space="preserve"> HYPERLINK "https://zbcg.mengniu.cn/" \l "/home" \t "_blank" </w:instrText>
      </w:r>
      <w:r>
        <w:fldChar w:fldCharType="separate"/>
      </w:r>
      <w:r>
        <w:rPr>
          <w:rFonts w:hint="eastAsia" w:ascii="仿宋" w:hAnsi="仿宋" w:eastAsia="仿宋" w:cs="仿宋"/>
          <w:color w:val="000000"/>
          <w:sz w:val="24"/>
        </w:rPr>
        <w:t>https://zbcg.mengniu.cn/#/home</w:t>
      </w:r>
      <w:r>
        <w:rPr>
          <w:rFonts w:hint="eastAsia" w:ascii="仿宋" w:hAnsi="仿宋" w:eastAsia="仿宋" w:cs="仿宋"/>
          <w:color w:val="000000"/>
          <w:sz w:val="24"/>
        </w:rPr>
        <w:fldChar w:fldCharType="end"/>
      </w:r>
      <w:r>
        <w:rPr>
          <w:rFonts w:hint="eastAsia" w:ascii="仿宋" w:hAnsi="仿宋" w:eastAsia="仿宋" w:cs="仿宋"/>
          <w:color w:val="000000"/>
          <w:sz w:val="24"/>
        </w:rPr>
        <w:t xml:space="preserve"> ）”</w:t>
      </w:r>
      <w:bookmarkEnd w:id="0"/>
      <w:r>
        <w:rPr>
          <w:rFonts w:hint="eastAsia" w:ascii="仿宋" w:hAnsi="仿宋" w:eastAsia="仿宋" w:cs="仿宋"/>
          <w:color w:val="000000"/>
          <w:sz w:val="24"/>
        </w:rPr>
        <w:t>进行线上提交，进行资格审查（过期提交不予受理），审查合格后方可购买招标文件（仅作为发放招标文件的依据）。</w:t>
      </w:r>
    </w:p>
    <w:p w14:paraId="23D8C842">
      <w:pPr>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资料提供不全或模糊不清或未按时间要求提报的将被拒绝接收，所提供的资质、业绩文件中如有虚假情况，一经发现将被取消投标资格。</w:t>
      </w:r>
    </w:p>
    <w:p w14:paraId="724C781C">
      <w:pPr>
        <w:adjustRightInd w:val="0"/>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投标人自购买招标文件之日起，应确保其向招标人或招标代理机构提供的通讯手段（电话、邮箱）一直有效，以保证往来函件能及时传达并及时反馈信息，否则由此引起的一切后果由投标人承担。</w:t>
      </w:r>
    </w:p>
    <w:p w14:paraId="46D3422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2、报名方式：</w:t>
      </w:r>
    </w:p>
    <w:p w14:paraId="50BCF95A">
      <w:pPr>
        <w:adjustRightInd w:val="0"/>
        <w:snapToGrid w:val="0"/>
        <w:spacing w:line="360" w:lineRule="auto"/>
        <w:ind w:firstLine="480" w:firstLineChars="200"/>
        <w:jc w:val="left"/>
        <w:rPr>
          <w:rStyle w:val="17"/>
          <w:rFonts w:ascii="仿宋" w:hAnsi="仿宋" w:eastAsia="仿宋" w:cs="仿宋"/>
          <w:color w:val="auto"/>
          <w:sz w:val="24"/>
        </w:rPr>
      </w:pPr>
      <w:r>
        <w:rPr>
          <w:rFonts w:hint="eastAsia" w:ascii="仿宋" w:hAnsi="仿宋" w:eastAsia="仿宋" w:cs="仿宋"/>
          <w:color w:val="000000"/>
          <w:sz w:val="24"/>
        </w:rPr>
        <w:t>潜在投标人依据资格要求自主评估，符合条件的登录“蒙牛集团电子采购招标平台”进行网上报名、资格验证、购买招标文件、澄清答疑和参与开标会等，过程中如有疑问可咨询平台服务支持，电话010-21362559或咨询招标人业务咨询联系人</w:t>
      </w:r>
      <w:r>
        <w:rPr>
          <w:rFonts w:hint="eastAsia" w:ascii="仿宋" w:hAnsi="仿宋" w:eastAsia="仿宋" w:cs="仿宋"/>
          <w:sz w:val="24"/>
        </w:rPr>
        <w:t>。</w:t>
      </w:r>
    </w:p>
    <w:p w14:paraId="65EE379E">
      <w:pPr>
        <w:adjustRightInd w:val="0"/>
        <w:snapToGrid w:val="0"/>
        <w:spacing w:line="360" w:lineRule="auto"/>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注：</w:t>
      </w:r>
      <w:r>
        <w:rPr>
          <w:rFonts w:hint="eastAsia" w:ascii="仿宋" w:hAnsi="仿宋" w:eastAsia="仿宋" w:cs="仿宋"/>
          <w:color w:val="000000" w:themeColor="text1"/>
          <w:sz w:val="24"/>
          <w14:textFill>
            <w14:solidFill>
              <w14:schemeClr w14:val="tx1"/>
            </w14:solidFill>
          </w14:textFill>
        </w:rPr>
        <w:t>请先阅读【MN_SRM_用户操作手册_供应商管理 V1.1 - 供应商注册及信息修改操作指南】和【供应商入库-登录-参与项目-报名等流程说明】服务手册，再进行注册、报名，如因办理注册和平台操作不及时或错误，影响参加招标采购活动的，责任自负。</w:t>
      </w:r>
    </w:p>
    <w:p w14:paraId="57DA450D">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六、项目时间安排及要求：</w:t>
      </w:r>
    </w:p>
    <w:p w14:paraId="06313989">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1、报名时间：2024年0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08</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14</w:t>
      </w:r>
      <w:r>
        <w:rPr>
          <w:rFonts w:hint="eastAsia" w:ascii="仿宋" w:hAnsi="仿宋" w:eastAsia="仿宋" w:cs="仿宋"/>
          <w:sz w:val="24"/>
        </w:rPr>
        <w:t>日</w:t>
      </w:r>
      <w:r>
        <w:rPr>
          <w:rFonts w:hint="eastAsia" w:ascii="仿宋" w:hAnsi="仿宋" w:eastAsia="仿宋" w:cs="仿宋"/>
          <w:sz w:val="24"/>
          <w:lang w:val="en-US" w:eastAsia="zh-CN"/>
        </w:rPr>
        <w:t>23时</w:t>
      </w:r>
      <w:r>
        <w:rPr>
          <w:rFonts w:hint="eastAsia" w:ascii="仿宋" w:hAnsi="仿宋" w:eastAsia="仿宋" w:cs="仿宋"/>
          <w:sz w:val="24"/>
        </w:rPr>
        <w:t>；</w:t>
      </w:r>
    </w:p>
    <w:p w14:paraId="0FBD06C9">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2、资格预审时间2024年0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15</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16</w:t>
      </w:r>
      <w:r>
        <w:rPr>
          <w:rFonts w:hint="eastAsia" w:ascii="仿宋" w:hAnsi="仿宋" w:eastAsia="仿宋" w:cs="仿宋"/>
          <w:sz w:val="24"/>
        </w:rPr>
        <w:t>日</w:t>
      </w:r>
      <w:r>
        <w:rPr>
          <w:rFonts w:hint="eastAsia" w:ascii="仿宋" w:hAnsi="仿宋" w:eastAsia="仿宋" w:cs="仿宋"/>
          <w:sz w:val="24"/>
          <w:lang w:val="en-US" w:eastAsia="zh-CN"/>
        </w:rPr>
        <w:t>23</w:t>
      </w:r>
      <w:r>
        <w:rPr>
          <w:rFonts w:hint="eastAsia" w:ascii="仿宋" w:hAnsi="仿宋" w:eastAsia="仿宋" w:cs="仿宋"/>
          <w:sz w:val="24"/>
        </w:rPr>
        <w:t>时；</w:t>
      </w:r>
    </w:p>
    <w:p w14:paraId="56920985">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3、询比价文件发售时间：2024年0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17</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18</w:t>
      </w:r>
      <w:r>
        <w:rPr>
          <w:rFonts w:hint="eastAsia" w:ascii="仿宋" w:hAnsi="仿宋" w:eastAsia="仿宋" w:cs="仿宋"/>
          <w:sz w:val="24"/>
        </w:rPr>
        <w:t>日</w:t>
      </w:r>
      <w:r>
        <w:rPr>
          <w:rFonts w:hint="eastAsia" w:ascii="仿宋" w:hAnsi="仿宋" w:eastAsia="仿宋" w:cs="仿宋"/>
          <w:sz w:val="24"/>
          <w:lang w:val="en-US" w:eastAsia="zh-CN"/>
        </w:rPr>
        <w:t>23</w:t>
      </w:r>
      <w:r>
        <w:rPr>
          <w:rFonts w:hint="eastAsia" w:ascii="仿宋" w:hAnsi="仿宋" w:eastAsia="仿宋" w:cs="仿宋"/>
          <w:sz w:val="24"/>
        </w:rPr>
        <w:t>时发售</w:t>
      </w:r>
    </w:p>
    <w:p w14:paraId="4166776E">
      <w:pPr>
        <w:adjustRightInd w:val="0"/>
        <w:snapToGrid w:val="0"/>
        <w:spacing w:line="360" w:lineRule="auto"/>
        <w:ind w:firstLine="480" w:firstLineChars="200"/>
        <w:rPr>
          <w:rFonts w:hint="eastAsia" w:ascii="仿宋" w:hAnsi="仿宋" w:eastAsia="仿宋" w:cs="仿宋"/>
          <w:b/>
          <w:bCs/>
          <w:color w:val="C00000"/>
          <w:sz w:val="24"/>
          <w:lang w:eastAsia="zh-CN"/>
        </w:rPr>
      </w:pPr>
      <w:r>
        <w:rPr>
          <w:rFonts w:hint="eastAsia" w:ascii="仿宋" w:hAnsi="仿宋" w:eastAsia="仿宋" w:cs="仿宋"/>
          <w:sz w:val="24"/>
        </w:rPr>
        <w:t>4、开标时间：</w:t>
      </w:r>
      <w:r>
        <w:rPr>
          <w:rFonts w:hint="eastAsia" w:ascii="仿宋" w:hAnsi="仿宋" w:eastAsia="仿宋" w:cs="仿宋"/>
          <w:sz w:val="24"/>
          <w:u w:val="single"/>
        </w:rPr>
        <w:t>2024</w:t>
      </w:r>
      <w:r>
        <w:rPr>
          <w:rFonts w:hint="eastAsia" w:ascii="仿宋" w:hAnsi="仿宋" w:eastAsia="仿宋" w:cs="仿宋"/>
          <w:sz w:val="24"/>
        </w:rPr>
        <w:t>年</w:t>
      </w:r>
      <w:r>
        <w:rPr>
          <w:rFonts w:ascii="仿宋" w:hAnsi="仿宋" w:eastAsia="仿宋" w:cs="仿宋"/>
          <w:sz w:val="24"/>
          <w:u w:val="single"/>
        </w:rPr>
        <w:t>0</w:t>
      </w:r>
      <w:r>
        <w:rPr>
          <w:rFonts w:hint="eastAsia" w:ascii="仿宋" w:hAnsi="仿宋" w:eastAsia="仿宋" w:cs="仿宋"/>
          <w:sz w:val="24"/>
          <w:u w:val="single"/>
          <w:lang w:val="en-US" w:eastAsia="zh-CN"/>
        </w:rPr>
        <w:t>7</w:t>
      </w:r>
      <w:r>
        <w:rPr>
          <w:rFonts w:hint="eastAsia" w:ascii="仿宋" w:hAnsi="仿宋" w:eastAsia="仿宋" w:cs="仿宋"/>
          <w:sz w:val="24"/>
        </w:rPr>
        <w:t>月</w:t>
      </w:r>
      <w:r>
        <w:rPr>
          <w:rFonts w:hint="eastAsia" w:ascii="仿宋" w:hAnsi="仿宋" w:eastAsia="仿宋" w:cs="仿宋"/>
          <w:sz w:val="24"/>
          <w:u w:val="single"/>
          <w:lang w:val="en-US" w:eastAsia="zh-CN"/>
        </w:rPr>
        <w:t>23</w:t>
      </w:r>
      <w:r>
        <w:rPr>
          <w:rFonts w:hint="eastAsia" w:ascii="仿宋" w:hAnsi="仿宋" w:eastAsia="仿宋" w:cs="仿宋"/>
          <w:sz w:val="24"/>
        </w:rPr>
        <w:t>日</w:t>
      </w:r>
      <w:r>
        <w:rPr>
          <w:rFonts w:hint="eastAsia" w:ascii="仿宋" w:hAnsi="仿宋" w:eastAsia="仿宋" w:cs="仿宋"/>
          <w:sz w:val="24"/>
          <w:u w:val="single"/>
        </w:rPr>
        <w:t>9</w:t>
      </w:r>
      <w:r>
        <w:rPr>
          <w:rFonts w:hint="eastAsia" w:ascii="仿宋" w:hAnsi="仿宋" w:eastAsia="仿宋" w:cs="仿宋"/>
          <w:sz w:val="24"/>
        </w:rPr>
        <w:t>时</w:t>
      </w:r>
      <w:r>
        <w:rPr>
          <w:rFonts w:hint="eastAsia" w:ascii="仿宋" w:hAnsi="仿宋" w:eastAsia="仿宋" w:cs="仿宋"/>
          <w:sz w:val="24"/>
          <w:u w:val="single"/>
        </w:rPr>
        <w:t>3</w:t>
      </w:r>
      <w:r>
        <w:rPr>
          <w:rFonts w:ascii="仿宋" w:hAnsi="仿宋" w:eastAsia="仿宋" w:cs="仿宋"/>
          <w:sz w:val="24"/>
          <w:u w:val="single"/>
        </w:rPr>
        <w:t>0</w:t>
      </w:r>
      <w:r>
        <w:rPr>
          <w:rFonts w:hint="eastAsia" w:ascii="仿宋" w:hAnsi="仿宋" w:eastAsia="仿宋" w:cs="仿宋"/>
          <w:sz w:val="24"/>
        </w:rPr>
        <w:t>分（以发出的招标文件为准）；</w:t>
      </w:r>
    </w:p>
    <w:p w14:paraId="7B8B957F">
      <w:pPr>
        <w:adjustRightInd w:val="0"/>
        <w:snapToGrid w:val="0"/>
        <w:spacing w:line="360" w:lineRule="auto"/>
        <w:ind w:firstLine="482" w:firstLineChars="200"/>
        <w:rPr>
          <w:rFonts w:ascii="仿宋" w:hAnsi="仿宋" w:eastAsia="仿宋" w:cs="仿宋"/>
          <w:color w:val="000000"/>
          <w:sz w:val="24"/>
        </w:rPr>
      </w:pPr>
      <w:r>
        <w:rPr>
          <w:rFonts w:hint="eastAsia" w:ascii="仿宋" w:hAnsi="仿宋" w:eastAsia="仿宋" w:cs="仿宋"/>
          <w:b/>
          <w:sz w:val="24"/>
        </w:rPr>
        <w:t>七、开标地址：</w:t>
      </w:r>
      <w:r>
        <w:rPr>
          <w:rFonts w:hint="eastAsia" w:ascii="仿宋" w:hAnsi="仿宋" w:eastAsia="仿宋" w:cs="仿宋"/>
          <w:color w:val="000000"/>
          <w:sz w:val="24"/>
        </w:rPr>
        <w:t>蒙牛集团电子采购招标平台（https://zbcg.mengniu.cn/）</w:t>
      </w:r>
    </w:p>
    <w:p w14:paraId="039DECA3">
      <w:pPr>
        <w:adjustRightInd w:val="0"/>
        <w:snapToGrid w:val="0"/>
        <w:spacing w:line="360" w:lineRule="auto"/>
        <w:ind w:firstLine="482" w:firstLineChars="200"/>
        <w:rPr>
          <w:rFonts w:ascii="仿宋" w:hAnsi="仿宋" w:eastAsia="仿宋" w:cs="仿宋"/>
          <w:b/>
          <w:color w:val="FF0000"/>
          <w:sz w:val="24"/>
        </w:rPr>
      </w:pPr>
      <w:r>
        <w:rPr>
          <w:rFonts w:hint="eastAsia" w:ascii="仿宋" w:hAnsi="仿宋" w:eastAsia="仿宋" w:cs="仿宋"/>
          <w:b/>
          <w:color w:val="000000"/>
          <w:sz w:val="24"/>
        </w:rPr>
        <w:t>八、发布媒体：</w:t>
      </w:r>
    </w:p>
    <w:p w14:paraId="4F39E80E">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蒙牛官网（http://www.mengniu.com.cn）及蒙牛内部平台</w:t>
      </w:r>
    </w:p>
    <w:p w14:paraId="4D0627AE">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蒙牛集团电子招标采购交易平台（</w:t>
      </w:r>
      <w:r>
        <w:fldChar w:fldCharType="begin"/>
      </w:r>
      <w:r>
        <w:instrText xml:space="preserve"> HYPERLINK "https://……）" </w:instrText>
      </w:r>
      <w:r>
        <w:fldChar w:fldCharType="separate"/>
      </w:r>
      <w:r>
        <w:rPr>
          <w:rFonts w:hint="eastAsia" w:ascii="仿宋" w:hAnsi="仿宋" w:eastAsia="仿宋" w:cs="仿宋"/>
          <w:color w:val="000000"/>
          <w:sz w:val="24"/>
        </w:rPr>
        <w:t>https://zbcg.mengniu.cn）</w:t>
      </w:r>
      <w:r>
        <w:rPr>
          <w:rFonts w:hint="eastAsia" w:ascii="仿宋" w:hAnsi="仿宋" w:eastAsia="仿宋" w:cs="仿宋"/>
          <w:color w:val="000000"/>
          <w:sz w:val="24"/>
        </w:rPr>
        <w:fldChar w:fldCharType="end"/>
      </w:r>
    </w:p>
    <w:p w14:paraId="6853F109">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此公告只在以上平台发布，其他任何媒体转载无效。</w:t>
      </w:r>
    </w:p>
    <w:p w14:paraId="74F1481C">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九、招标人及联系方式：</w:t>
      </w:r>
    </w:p>
    <w:p w14:paraId="4AEAA39A">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招标人：内蒙古蒙牛乳业（集团）股份有限公司</w:t>
      </w:r>
    </w:p>
    <w:p w14:paraId="3B20C6BA">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业务咨询联系人：</w:t>
      </w:r>
      <w:r>
        <w:rPr>
          <w:rFonts w:hint="eastAsia" w:ascii="仿宋" w:hAnsi="仿宋" w:eastAsia="仿宋" w:cs="仿宋"/>
          <w:sz w:val="24"/>
          <w:lang w:val="en-US" w:eastAsia="zh-CN"/>
        </w:rPr>
        <w:t>李博彧</w:t>
      </w:r>
      <w:r>
        <w:rPr>
          <w:rFonts w:hint="eastAsia" w:ascii="仿宋" w:hAnsi="仿宋" w:eastAsia="仿宋" w:cs="仿宋"/>
          <w:sz w:val="24"/>
        </w:rPr>
        <w:t xml:space="preserve">      </w:t>
      </w:r>
    </w:p>
    <w:p w14:paraId="443917C1">
      <w:pPr>
        <w:adjustRightInd w:val="0"/>
        <w:snapToGrid w:val="0"/>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rPr>
        <w:t>联系方式：1</w:t>
      </w:r>
      <w:r>
        <w:rPr>
          <w:rFonts w:hint="eastAsia" w:ascii="仿宋" w:hAnsi="仿宋" w:eastAsia="仿宋" w:cs="仿宋"/>
          <w:sz w:val="24"/>
          <w:lang w:val="en-US" w:eastAsia="zh-CN"/>
        </w:rPr>
        <w:t>7604716712</w:t>
      </w:r>
    </w:p>
    <w:p w14:paraId="4E7D7ACD">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十、监督单位及联系方式：</w:t>
      </w:r>
    </w:p>
    <w:p w14:paraId="23E19FFD">
      <w:pPr>
        <w:pStyle w:val="19"/>
        <w:snapToGrid w:val="0"/>
        <w:spacing w:line="360" w:lineRule="auto"/>
        <w:ind w:firstLine="480" w:firstLineChars="200"/>
        <w:rPr>
          <w:rFonts w:ascii="仿宋" w:hAnsi="仿宋" w:eastAsia="仿宋" w:cs="仿宋"/>
          <w:color w:val="auto"/>
          <w:kern w:val="2"/>
        </w:rPr>
      </w:pPr>
      <w:r>
        <w:rPr>
          <w:rFonts w:hint="eastAsia" w:ascii="仿宋" w:hAnsi="仿宋" w:eastAsia="仿宋" w:cs="仿宋"/>
          <w:color w:val="auto"/>
          <w:kern w:val="2"/>
        </w:rPr>
        <w:t>监督单位：内蒙古蒙牛乳业（集团）股份有限公司招投标管理部</w:t>
      </w:r>
    </w:p>
    <w:p w14:paraId="1F7007E2">
      <w:pPr>
        <w:pStyle w:val="19"/>
        <w:snapToGrid w:val="0"/>
        <w:spacing w:line="360" w:lineRule="auto"/>
        <w:ind w:firstLine="480" w:firstLineChars="200"/>
        <w:rPr>
          <w:rFonts w:ascii="仿宋" w:hAnsi="仿宋" w:eastAsia="仿宋" w:cs="仿宋"/>
          <w:color w:val="auto"/>
          <w:kern w:val="2"/>
        </w:rPr>
      </w:pPr>
      <w:r>
        <w:rPr>
          <w:rFonts w:hint="eastAsia" w:ascii="仿宋" w:hAnsi="仿宋" w:eastAsia="仿宋" w:cs="仿宋"/>
          <w:color w:val="auto"/>
          <w:kern w:val="2"/>
        </w:rPr>
        <w:t>监 督 人:</w:t>
      </w:r>
      <w:r>
        <w:rPr>
          <w:rFonts w:hint="eastAsia" w:ascii="仿宋" w:hAnsi="仿宋" w:eastAsia="仿宋" w:cs="仿宋"/>
          <w:color w:val="auto"/>
          <w:kern w:val="2"/>
          <w:lang w:val="en-US" w:eastAsia="zh-CN"/>
        </w:rPr>
        <w:t>薛海燕</w:t>
      </w:r>
      <w:r>
        <w:rPr>
          <w:rFonts w:hint="eastAsia" w:ascii="仿宋" w:hAnsi="仿宋" w:eastAsia="仿宋" w:cs="仿宋"/>
          <w:color w:val="auto"/>
          <w:kern w:val="2"/>
        </w:rPr>
        <w:t xml:space="preserve">                      </w:t>
      </w:r>
    </w:p>
    <w:p w14:paraId="0F9F55D2">
      <w:pPr>
        <w:pStyle w:val="19"/>
        <w:snapToGrid w:val="0"/>
        <w:spacing w:line="360" w:lineRule="auto"/>
        <w:ind w:firstLine="480" w:firstLineChars="200"/>
        <w:rPr>
          <w:rFonts w:hint="default" w:ascii="仿宋" w:hAnsi="仿宋" w:eastAsia="仿宋" w:cs="仿宋"/>
          <w:color w:val="auto"/>
          <w:kern w:val="2"/>
          <w:lang w:val="en-US" w:eastAsia="zh-CN"/>
        </w:rPr>
      </w:pPr>
      <w:r>
        <w:rPr>
          <w:rFonts w:hint="eastAsia" w:ascii="仿宋" w:hAnsi="仿宋" w:eastAsia="仿宋" w:cs="仿宋"/>
          <w:color w:val="auto"/>
          <w:kern w:val="2"/>
        </w:rPr>
        <w:t>联系方式：0471-7393642/150349</w:t>
      </w:r>
      <w:r>
        <w:rPr>
          <w:rFonts w:hint="eastAsia" w:ascii="仿宋" w:hAnsi="仿宋" w:eastAsia="仿宋" w:cs="仿宋"/>
          <w:color w:val="auto"/>
          <w:kern w:val="2"/>
          <w:lang w:val="en-US" w:eastAsia="zh-CN"/>
        </w:rPr>
        <w:t>52008</w:t>
      </w:r>
    </w:p>
    <w:p w14:paraId="3F4744EE">
      <w:pPr>
        <w:pStyle w:val="19"/>
        <w:snapToGrid w:val="0"/>
        <w:spacing w:line="360" w:lineRule="auto"/>
        <w:ind w:firstLine="480" w:firstLineChars="200"/>
        <w:rPr>
          <w:rFonts w:hint="eastAsia" w:ascii="仿宋" w:hAnsi="仿宋" w:eastAsia="仿宋" w:cs="仿宋"/>
          <w:color w:val="auto"/>
          <w:kern w:val="2"/>
        </w:rPr>
      </w:pPr>
      <w:r>
        <w:rPr>
          <w:rFonts w:hint="eastAsia" w:ascii="仿宋" w:hAnsi="仿宋" w:eastAsia="仿宋" w:cs="仿宋"/>
          <w:color w:val="auto"/>
          <w:kern w:val="2"/>
        </w:rPr>
        <w:t>电子邮件：</w:t>
      </w:r>
      <w:r>
        <w:rPr>
          <w:rFonts w:hint="eastAsia" w:ascii="仿宋" w:hAnsi="仿宋" w:eastAsia="仿宋" w:cs="仿宋"/>
          <w:color w:val="auto"/>
          <w:kern w:val="2"/>
        </w:rPr>
        <w:fldChar w:fldCharType="begin"/>
      </w:r>
      <w:r>
        <w:rPr>
          <w:rFonts w:hint="eastAsia" w:ascii="仿宋" w:hAnsi="仿宋" w:eastAsia="仿宋" w:cs="仿宋"/>
          <w:color w:val="auto"/>
          <w:kern w:val="2"/>
        </w:rPr>
        <w:instrText xml:space="preserve"> HYPERLINK "mailto:xuehaiyan@mengniu.cn" </w:instrText>
      </w:r>
      <w:r>
        <w:rPr>
          <w:rFonts w:hint="eastAsia" w:ascii="仿宋" w:hAnsi="仿宋" w:eastAsia="仿宋" w:cs="仿宋"/>
          <w:color w:val="auto"/>
          <w:kern w:val="2"/>
        </w:rPr>
        <w:fldChar w:fldCharType="separate"/>
      </w:r>
      <w:r>
        <w:rPr>
          <w:rFonts w:hint="eastAsia" w:ascii="仿宋" w:hAnsi="仿宋" w:eastAsia="仿宋" w:cs="仿宋"/>
          <w:color w:val="auto"/>
          <w:kern w:val="2"/>
        </w:rPr>
        <w:t>xuehaiyan@mengniu.cn</w:t>
      </w:r>
      <w:r>
        <w:rPr>
          <w:rFonts w:hint="eastAsia" w:ascii="仿宋" w:hAnsi="仿宋" w:eastAsia="仿宋" w:cs="仿宋"/>
          <w:color w:val="auto"/>
          <w:kern w:val="2"/>
        </w:rPr>
        <w:fldChar w:fldCharType="end"/>
      </w:r>
    </w:p>
    <w:p w14:paraId="09C74D14">
      <w:pPr>
        <w:pStyle w:val="19"/>
        <w:snapToGrid w:val="0"/>
        <w:spacing w:line="360" w:lineRule="auto"/>
        <w:ind w:firstLine="480" w:firstLineChars="200"/>
        <w:rPr>
          <w:rFonts w:ascii="仿宋" w:hAnsi="仿宋" w:eastAsia="仿宋" w:cs="仿宋"/>
        </w:rPr>
      </w:pPr>
      <w:r>
        <w:rPr>
          <w:rFonts w:hint="eastAsia" w:ascii="仿宋" w:hAnsi="仿宋" w:eastAsia="仿宋" w:cs="仿宋"/>
          <w:color w:val="auto"/>
          <w:kern w:val="2"/>
        </w:rPr>
        <w:t>异议/投诉服务网址：https://zbcg.mengniu.cn/#/home</w:t>
      </w:r>
    </w:p>
    <w:p w14:paraId="408D0F98">
      <w:pPr>
        <w:pStyle w:val="23"/>
        <w:tabs>
          <w:tab w:val="left" w:pos="993"/>
          <w:tab w:val="left" w:pos="1134"/>
        </w:tabs>
        <w:adjustRightInd w:val="0"/>
        <w:snapToGrid w:val="0"/>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附件：1.法定代表人身份证明/法定代表人授权委托书</w:t>
      </w:r>
    </w:p>
    <w:p w14:paraId="27677884">
      <w:pPr>
        <w:pStyle w:val="23"/>
        <w:numPr>
          <w:ilvl w:val="0"/>
          <w:numId w:val="4"/>
        </w:numPr>
        <w:tabs>
          <w:tab w:val="left" w:pos="993"/>
          <w:tab w:val="left" w:pos="1134"/>
        </w:tabs>
        <w:adjustRightInd w:val="0"/>
        <w:snapToGrid w:val="0"/>
        <w:spacing w:line="360" w:lineRule="auto"/>
        <w:ind w:firstLine="480"/>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潜在</w:t>
      </w:r>
      <w:r>
        <w:rPr>
          <w:rFonts w:hint="eastAsia" w:ascii="仿宋" w:hAnsi="仿宋" w:eastAsia="仿宋" w:cs="仿宋"/>
          <w:sz w:val="24"/>
          <w:szCs w:val="24"/>
          <w:lang w:val="en-US" w:eastAsia="zh-CN"/>
        </w:rPr>
        <w:t>竞价单位报名提供信息表</w:t>
      </w:r>
    </w:p>
    <w:p w14:paraId="7BB39A79">
      <w:pPr>
        <w:pStyle w:val="23"/>
        <w:tabs>
          <w:tab w:val="left" w:pos="993"/>
          <w:tab w:val="left" w:pos="1134"/>
        </w:tabs>
        <w:adjustRightInd w:val="0"/>
        <w:snapToGrid w:val="0"/>
        <w:spacing w:line="360" w:lineRule="auto"/>
        <w:ind w:firstLine="480"/>
        <w:rPr>
          <w:rFonts w:ascii="仿宋" w:hAnsi="仿宋" w:eastAsia="仿宋" w:cs="仿宋"/>
          <w:color w:val="000000"/>
          <w:sz w:val="24"/>
        </w:rPr>
      </w:pPr>
      <w:r>
        <w:rPr>
          <w:rFonts w:hint="eastAsia" w:ascii="仿宋" w:hAnsi="仿宋" w:eastAsia="仿宋" w:cs="仿宋"/>
          <w:color w:val="000000"/>
          <w:sz w:val="24"/>
          <w:lang w:val="en-US" w:eastAsia="zh-CN"/>
        </w:rPr>
        <w:t>3</w:t>
      </w:r>
      <w:r>
        <w:rPr>
          <w:rFonts w:hint="eastAsia" w:ascii="仿宋" w:hAnsi="仿宋" w:eastAsia="仿宋" w:cs="仿宋"/>
          <w:color w:val="000000"/>
          <w:sz w:val="24"/>
        </w:rPr>
        <w:t>.保密承诺书</w:t>
      </w:r>
    </w:p>
    <w:p w14:paraId="01C648B0">
      <w:pPr>
        <w:pStyle w:val="23"/>
        <w:tabs>
          <w:tab w:val="left" w:pos="993"/>
          <w:tab w:val="left" w:pos="1134"/>
        </w:tabs>
        <w:adjustRightInd w:val="0"/>
        <w:snapToGrid w:val="0"/>
        <w:spacing w:line="360" w:lineRule="auto"/>
        <w:ind w:firstLine="480"/>
        <w:jc w:val="right"/>
        <w:rPr>
          <w:rFonts w:ascii="仿宋" w:hAnsi="仿宋" w:eastAsia="仿宋" w:cs="仿宋"/>
          <w:color w:val="000000"/>
          <w:sz w:val="24"/>
        </w:rPr>
      </w:pPr>
      <w:r>
        <w:rPr>
          <w:rFonts w:hint="eastAsia" w:ascii="仿宋" w:hAnsi="仿宋" w:eastAsia="仿宋" w:cs="仿宋"/>
          <w:sz w:val="24"/>
        </w:rPr>
        <w:t>内蒙古蒙牛乳业（集团）股份有限公司</w:t>
      </w:r>
    </w:p>
    <w:p w14:paraId="406C175A">
      <w:pPr>
        <w:pStyle w:val="23"/>
        <w:tabs>
          <w:tab w:val="left" w:pos="993"/>
          <w:tab w:val="left" w:pos="1134"/>
        </w:tabs>
        <w:adjustRightInd w:val="0"/>
        <w:snapToGrid w:val="0"/>
        <w:spacing w:line="360" w:lineRule="auto"/>
        <w:ind w:firstLine="480"/>
        <w:jc w:val="right"/>
        <w:rPr>
          <w:rFonts w:ascii="仿宋_GB2312" w:hAnsi="宋体" w:eastAsia="仿宋_GB2312" w:cs="仿宋"/>
          <w:sz w:val="28"/>
          <w:szCs w:val="28"/>
        </w:rPr>
      </w:pPr>
      <w:r>
        <w:rPr>
          <w:rFonts w:hint="eastAsia" w:ascii="仿宋" w:hAnsi="仿宋" w:eastAsia="仿宋" w:cs="仿宋"/>
          <w:color w:val="000000"/>
          <w:sz w:val="24"/>
        </w:rPr>
        <w:t>2024年0</w:t>
      </w:r>
      <w:r>
        <w:rPr>
          <w:rFonts w:hint="eastAsia" w:ascii="仿宋" w:hAnsi="仿宋" w:eastAsia="仿宋" w:cs="仿宋"/>
          <w:color w:val="000000"/>
          <w:sz w:val="24"/>
          <w:lang w:val="en-US" w:eastAsia="zh-CN"/>
        </w:rPr>
        <w:t>7</w:t>
      </w:r>
      <w:r>
        <w:rPr>
          <w:rFonts w:hint="eastAsia" w:ascii="仿宋" w:hAnsi="仿宋" w:eastAsia="仿宋" w:cs="仿宋"/>
          <w:color w:val="000000"/>
          <w:sz w:val="24"/>
        </w:rPr>
        <w:t>月</w:t>
      </w:r>
      <w:r>
        <w:rPr>
          <w:rFonts w:hint="eastAsia" w:ascii="仿宋" w:hAnsi="仿宋" w:eastAsia="仿宋" w:cs="仿宋"/>
          <w:color w:val="000000"/>
          <w:sz w:val="24"/>
          <w:lang w:val="en-US" w:eastAsia="zh-CN"/>
        </w:rPr>
        <w:t>08</w:t>
      </w:r>
      <w:bookmarkStart w:id="1" w:name="_GoBack"/>
      <w:bookmarkEnd w:id="1"/>
      <w:r>
        <w:rPr>
          <w:rFonts w:hint="eastAsia" w:ascii="仿宋" w:hAnsi="仿宋" w:eastAsia="仿宋" w:cs="仿宋"/>
          <w:color w:val="000000"/>
          <w:sz w:val="24"/>
        </w:rPr>
        <w:t>日</w:t>
      </w:r>
      <w:r>
        <w:rPr>
          <w:rFonts w:ascii="仿宋_GB2312" w:hAnsi="宋体" w:eastAsia="仿宋_GB2312" w:cs="仿宋"/>
          <w:sz w:val="28"/>
          <w:szCs w:val="28"/>
        </w:rPr>
        <w:br w:type="page"/>
      </w:r>
    </w:p>
    <w:p w14:paraId="3E4BCC5E">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附件1：</w:t>
      </w:r>
    </w:p>
    <w:p w14:paraId="5478B0C5">
      <w:pPr>
        <w:adjustRightInd w:val="0"/>
        <w:snapToGrid w:val="0"/>
        <w:spacing w:line="360" w:lineRule="auto"/>
        <w:ind w:firstLine="482" w:firstLineChars="200"/>
        <w:jc w:val="center"/>
        <w:rPr>
          <w:rFonts w:ascii="仿宋" w:hAnsi="仿宋" w:eastAsia="仿宋" w:cs="宋体"/>
          <w:b/>
          <w:kern w:val="0"/>
          <w:sz w:val="24"/>
        </w:rPr>
      </w:pPr>
      <w:r>
        <w:rPr>
          <w:rFonts w:hint="eastAsia" w:ascii="仿宋" w:hAnsi="仿宋" w:eastAsia="仿宋" w:cs="宋体"/>
          <w:b/>
          <w:kern w:val="0"/>
          <w:sz w:val="24"/>
        </w:rPr>
        <w:t>法定代表人身份证明</w:t>
      </w:r>
    </w:p>
    <w:p w14:paraId="0BE7030F">
      <w:pPr>
        <w:adjustRightInd w:val="0"/>
        <w:snapToGrid w:val="0"/>
        <w:spacing w:line="360" w:lineRule="auto"/>
        <w:ind w:firstLine="482" w:firstLineChars="200"/>
        <w:jc w:val="center"/>
        <w:rPr>
          <w:rFonts w:ascii="仿宋" w:hAnsi="仿宋" w:eastAsia="仿宋" w:cs="宋体"/>
          <w:b/>
          <w:sz w:val="24"/>
        </w:rPr>
      </w:pPr>
    </w:p>
    <w:p w14:paraId="3D2800F1">
      <w:pPr>
        <w:adjustRightInd w:val="0"/>
        <w:snapToGrid w:val="0"/>
        <w:spacing w:line="360" w:lineRule="auto"/>
        <w:ind w:firstLine="480" w:firstLineChars="200"/>
        <w:rPr>
          <w:rFonts w:ascii="仿宋" w:hAnsi="仿宋" w:eastAsia="仿宋" w:cs="宋体"/>
          <w:color w:val="000000"/>
          <w:sz w:val="24"/>
          <w:u w:val="single"/>
        </w:rPr>
      </w:pPr>
      <w:r>
        <w:rPr>
          <w:rFonts w:hint="eastAsia" w:ascii="仿宋" w:hAnsi="仿宋" w:eastAsia="仿宋" w:cs="宋体"/>
          <w:color w:val="000000"/>
          <w:sz w:val="24"/>
        </w:rPr>
        <w:t>投标人名称：</w:t>
      </w:r>
      <w:r>
        <w:rPr>
          <w:rFonts w:hint="eastAsia" w:ascii="仿宋" w:hAnsi="仿宋" w:eastAsia="仿宋" w:cs="宋体"/>
          <w:color w:val="000000"/>
          <w:sz w:val="24"/>
          <w:u w:val="single"/>
        </w:rPr>
        <w:t xml:space="preserve">                             </w:t>
      </w:r>
    </w:p>
    <w:p w14:paraId="3159AC4C">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单位性质：</w:t>
      </w:r>
      <w:r>
        <w:rPr>
          <w:rFonts w:hint="eastAsia" w:ascii="仿宋" w:hAnsi="仿宋" w:eastAsia="仿宋" w:cs="宋体"/>
          <w:color w:val="000000"/>
          <w:sz w:val="24"/>
          <w:u w:val="single"/>
        </w:rPr>
        <w:t xml:space="preserve">                                </w:t>
      </w:r>
    </w:p>
    <w:p w14:paraId="745093C4">
      <w:pPr>
        <w:adjustRightInd w:val="0"/>
        <w:snapToGrid w:val="0"/>
        <w:spacing w:line="360" w:lineRule="auto"/>
        <w:ind w:firstLine="480" w:firstLineChars="200"/>
        <w:rPr>
          <w:rFonts w:ascii="仿宋" w:hAnsi="仿宋" w:eastAsia="仿宋" w:cs="宋体"/>
          <w:color w:val="000000"/>
          <w:sz w:val="24"/>
          <w:u w:val="single"/>
        </w:rPr>
      </w:pPr>
      <w:r>
        <w:rPr>
          <w:rFonts w:hint="eastAsia" w:ascii="仿宋" w:hAnsi="仿宋" w:eastAsia="仿宋" w:cs="宋体"/>
          <w:color w:val="000000"/>
          <w:sz w:val="24"/>
        </w:rPr>
        <w:t>地    址：</w:t>
      </w:r>
      <w:r>
        <w:rPr>
          <w:rFonts w:hint="eastAsia" w:ascii="仿宋" w:hAnsi="仿宋" w:eastAsia="仿宋" w:cs="宋体"/>
          <w:color w:val="000000"/>
          <w:sz w:val="24"/>
          <w:u w:val="single"/>
        </w:rPr>
        <w:t xml:space="preserve">                                   </w:t>
      </w:r>
    </w:p>
    <w:p w14:paraId="26CE9801">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成立时间：</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年</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月</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日</w:t>
      </w:r>
    </w:p>
    <w:p w14:paraId="457066E7">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经营期限：</w:t>
      </w:r>
      <w:r>
        <w:rPr>
          <w:rFonts w:hint="eastAsia" w:ascii="仿宋" w:hAnsi="仿宋" w:eastAsia="仿宋" w:cs="宋体"/>
          <w:color w:val="000000"/>
          <w:sz w:val="24"/>
          <w:u w:val="single"/>
        </w:rPr>
        <w:t xml:space="preserve">                               </w:t>
      </w:r>
    </w:p>
    <w:p w14:paraId="5C4772BF">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姓名：</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性别：</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，身份证号码：</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，职务：</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xml:space="preserve"> </w:t>
      </w:r>
      <w:r>
        <w:rPr>
          <w:rFonts w:hint="eastAsia" w:ascii="仿宋" w:hAnsi="仿宋" w:eastAsia="仿宋" w:cs="宋体"/>
          <w:color w:val="000000"/>
          <w:sz w:val="24"/>
          <w:u w:val="single"/>
        </w:rPr>
        <w:t>系</w:t>
      </w:r>
      <w:r>
        <w:rPr>
          <w:rFonts w:hint="eastAsia" w:ascii="仿宋" w:hAnsi="仿宋" w:eastAsia="仿宋"/>
          <w:sz w:val="24"/>
          <w:u w:val="single"/>
        </w:rPr>
        <w:t>竞</w:t>
      </w:r>
      <w:r>
        <w:rPr>
          <w:rFonts w:hint="eastAsia" w:ascii="仿宋" w:hAnsi="仿宋" w:eastAsia="仿宋"/>
          <w:color w:val="000000" w:themeColor="text1"/>
          <w:sz w:val="24"/>
          <w:u w:val="single"/>
          <w14:textFill>
            <w14:solidFill>
              <w14:schemeClr w14:val="tx1"/>
            </w14:solidFill>
          </w14:textFill>
        </w:rPr>
        <w:t>谈人</w:t>
      </w:r>
      <w:r>
        <w:rPr>
          <w:rFonts w:hint="eastAsia" w:ascii="仿宋" w:hAnsi="仿宋" w:eastAsia="仿宋" w:cs="宋体"/>
          <w:color w:val="000000" w:themeColor="text1"/>
          <w:sz w:val="24"/>
          <w:u w:val="single"/>
          <w14:textFill>
            <w14:solidFill>
              <w14:schemeClr w14:val="tx1"/>
            </w14:solidFill>
          </w14:textFill>
        </w:rPr>
        <w:t>全称</w:t>
      </w:r>
      <w:r>
        <w:rPr>
          <w:rFonts w:hint="eastAsia" w:ascii="仿宋" w:hAnsi="仿宋" w:eastAsia="仿宋" w:cs="宋体"/>
          <w:color w:val="000000"/>
          <w:sz w:val="24"/>
        </w:rPr>
        <w:t>的法定代表人。</w:t>
      </w:r>
    </w:p>
    <w:p w14:paraId="7E801079">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特此证明。</w:t>
      </w:r>
    </w:p>
    <w:p w14:paraId="7AFAB693">
      <w:pPr>
        <w:adjustRightInd w:val="0"/>
        <w:snapToGrid w:val="0"/>
        <w:spacing w:line="360" w:lineRule="auto"/>
        <w:ind w:firstLine="480" w:firstLineChars="200"/>
        <w:jc w:val="right"/>
        <w:rPr>
          <w:rFonts w:ascii="仿宋" w:hAnsi="仿宋" w:eastAsia="仿宋" w:cs="宋体"/>
          <w:sz w:val="24"/>
        </w:rPr>
      </w:pPr>
      <w:r>
        <w:rPr>
          <w:rFonts w:hint="eastAsia" w:ascii="仿宋" w:hAnsi="仿宋" w:eastAsia="仿宋" w:cs="宋体"/>
          <w:sz w:val="24"/>
        </w:rPr>
        <w:t>竞谈人：</w:t>
      </w:r>
      <w:r>
        <w:rPr>
          <w:rFonts w:hint="eastAsia" w:ascii="仿宋" w:hAnsi="仿宋" w:eastAsia="仿宋" w:cs="宋体"/>
          <w:sz w:val="24"/>
          <w:u w:val="single"/>
        </w:rPr>
        <w:t xml:space="preserve">                 </w:t>
      </w:r>
      <w:r>
        <w:rPr>
          <w:rFonts w:hint="eastAsia" w:ascii="仿宋" w:hAnsi="仿宋" w:eastAsia="仿宋" w:cs="宋体"/>
          <w:sz w:val="24"/>
        </w:rPr>
        <w:t>（盖公章）</w:t>
      </w:r>
    </w:p>
    <w:p w14:paraId="2B05861F">
      <w:pPr>
        <w:adjustRightInd w:val="0"/>
        <w:snapToGrid w:val="0"/>
        <w:spacing w:line="360" w:lineRule="auto"/>
        <w:ind w:firstLine="480" w:firstLineChars="200"/>
        <w:jc w:val="right"/>
        <w:rPr>
          <w:rFonts w:ascii="仿宋" w:hAnsi="仿宋" w:eastAsia="仿宋" w:cs="宋体"/>
          <w:sz w:val="24"/>
        </w:rPr>
      </w:pPr>
    </w:p>
    <w:p w14:paraId="6783DED3">
      <w:pPr>
        <w:adjustRightInd w:val="0"/>
        <w:snapToGrid w:val="0"/>
        <w:spacing w:line="360" w:lineRule="auto"/>
        <w:ind w:firstLine="480" w:firstLineChars="200"/>
        <w:jc w:val="right"/>
        <w:rPr>
          <w:rFonts w:ascii="仿宋" w:hAnsi="仿宋" w:eastAsia="仿宋" w:cs="宋体"/>
          <w:sz w:val="24"/>
        </w:rPr>
      </w:pP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w:t>
      </w:r>
    </w:p>
    <w:p w14:paraId="4C812F3B">
      <w:pPr>
        <w:adjustRightInd w:val="0"/>
        <w:snapToGrid w:val="0"/>
        <w:spacing w:line="360" w:lineRule="auto"/>
        <w:ind w:firstLine="482" w:firstLineChars="200"/>
        <w:rPr>
          <w:rFonts w:ascii="仿宋" w:hAnsi="仿宋" w:eastAsia="仿宋" w:cs="宋体"/>
          <w:b/>
          <w:kern w:val="0"/>
          <w:sz w:val="24"/>
        </w:rPr>
      </w:pPr>
    </w:p>
    <w:p w14:paraId="7E012B72">
      <w:pPr>
        <w:adjustRightInd w:val="0"/>
        <w:snapToGrid w:val="0"/>
        <w:spacing w:line="360" w:lineRule="auto"/>
        <w:ind w:firstLine="482" w:firstLineChars="200"/>
        <w:rPr>
          <w:rFonts w:ascii="仿宋" w:hAnsi="仿宋" w:eastAsia="仿宋" w:cs="宋体"/>
          <w:b/>
          <w:kern w:val="0"/>
          <w:sz w:val="24"/>
        </w:rPr>
      </w:pPr>
    </w:p>
    <w:tbl>
      <w:tblPr>
        <w:tblStyle w:val="14"/>
        <w:tblW w:w="8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0"/>
        <w:gridCol w:w="4350"/>
      </w:tblGrid>
      <w:tr w14:paraId="4443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350" w:type="dxa"/>
            <w:shd w:val="clear" w:color="auto" w:fill="auto"/>
          </w:tcPr>
          <w:p w14:paraId="46D1A7C8">
            <w:pPr>
              <w:adjustRightInd w:val="0"/>
              <w:snapToGrid w:val="0"/>
              <w:spacing w:line="360" w:lineRule="auto"/>
              <w:ind w:firstLine="480" w:firstLineChars="200"/>
              <w:jc w:val="center"/>
              <w:rPr>
                <w:rFonts w:ascii="仿宋" w:hAnsi="仿宋" w:eastAsia="仿宋" w:cs="宋体"/>
                <w:b/>
                <w:kern w:val="0"/>
                <w:sz w:val="24"/>
              </w:rPr>
            </w:pPr>
            <w:r>
              <w:rPr>
                <w:rFonts w:hint="eastAsia" w:ascii="仿宋" w:hAnsi="仿宋" w:eastAsia="仿宋" w:cs="宋体"/>
                <w:kern w:val="0"/>
                <w:sz w:val="24"/>
              </w:rPr>
              <w:t xml:space="preserve">法人身份证正面  </w:t>
            </w:r>
          </w:p>
        </w:tc>
        <w:tc>
          <w:tcPr>
            <w:tcW w:w="4350" w:type="dxa"/>
            <w:shd w:val="clear" w:color="auto" w:fill="auto"/>
          </w:tcPr>
          <w:p w14:paraId="24905EB0">
            <w:pPr>
              <w:adjustRightInd w:val="0"/>
              <w:snapToGrid w:val="0"/>
              <w:spacing w:line="360" w:lineRule="auto"/>
              <w:ind w:firstLine="480" w:firstLineChars="200"/>
              <w:jc w:val="center"/>
              <w:rPr>
                <w:rFonts w:ascii="仿宋" w:hAnsi="仿宋" w:eastAsia="仿宋" w:cs="宋体"/>
                <w:kern w:val="0"/>
                <w:sz w:val="24"/>
              </w:rPr>
            </w:pPr>
            <w:r>
              <w:rPr>
                <w:rFonts w:hint="eastAsia" w:ascii="仿宋" w:hAnsi="仿宋" w:eastAsia="仿宋" w:cs="宋体"/>
                <w:kern w:val="0"/>
                <w:sz w:val="24"/>
              </w:rPr>
              <w:t xml:space="preserve">  法人身份证反面</w:t>
            </w:r>
          </w:p>
        </w:tc>
      </w:tr>
      <w:tr w14:paraId="25DA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trPr>
        <w:tc>
          <w:tcPr>
            <w:tcW w:w="4350" w:type="dxa"/>
            <w:shd w:val="clear" w:color="auto" w:fill="auto"/>
          </w:tcPr>
          <w:p w14:paraId="15DD8C30">
            <w:pPr>
              <w:adjustRightInd w:val="0"/>
              <w:snapToGrid w:val="0"/>
              <w:spacing w:line="360" w:lineRule="auto"/>
              <w:ind w:firstLine="482" w:firstLineChars="200"/>
              <w:jc w:val="center"/>
              <w:rPr>
                <w:rFonts w:ascii="仿宋" w:hAnsi="仿宋" w:eastAsia="仿宋" w:cs="宋体"/>
                <w:b/>
                <w:kern w:val="0"/>
                <w:sz w:val="24"/>
              </w:rPr>
            </w:pPr>
          </w:p>
        </w:tc>
        <w:tc>
          <w:tcPr>
            <w:tcW w:w="4350" w:type="dxa"/>
            <w:shd w:val="clear" w:color="auto" w:fill="auto"/>
          </w:tcPr>
          <w:p w14:paraId="0146447A">
            <w:pPr>
              <w:adjustRightInd w:val="0"/>
              <w:snapToGrid w:val="0"/>
              <w:spacing w:line="360" w:lineRule="auto"/>
              <w:ind w:firstLine="482" w:firstLineChars="200"/>
              <w:jc w:val="center"/>
              <w:rPr>
                <w:rFonts w:ascii="仿宋" w:hAnsi="仿宋" w:eastAsia="仿宋" w:cs="宋体"/>
                <w:b/>
                <w:kern w:val="0"/>
                <w:sz w:val="24"/>
              </w:rPr>
            </w:pPr>
          </w:p>
        </w:tc>
      </w:tr>
    </w:tbl>
    <w:p w14:paraId="01A71204">
      <w:pPr>
        <w:adjustRightInd w:val="0"/>
        <w:snapToGrid w:val="0"/>
        <w:spacing w:line="360" w:lineRule="auto"/>
        <w:ind w:firstLine="480" w:firstLineChars="200"/>
        <w:rPr>
          <w:rFonts w:ascii="仿宋" w:hAnsi="仿宋" w:eastAsia="仿宋" w:cs="宋体"/>
          <w:sz w:val="24"/>
        </w:rPr>
      </w:pPr>
    </w:p>
    <w:p w14:paraId="3F7375BE">
      <w:pPr>
        <w:adjustRightInd w:val="0"/>
        <w:snapToGrid w:val="0"/>
        <w:spacing w:line="360" w:lineRule="auto"/>
        <w:ind w:firstLine="480" w:firstLineChars="200"/>
        <w:rPr>
          <w:rFonts w:ascii="仿宋" w:hAnsi="仿宋" w:eastAsia="仿宋" w:cs="宋体"/>
          <w:sz w:val="24"/>
        </w:rPr>
      </w:pPr>
    </w:p>
    <w:p w14:paraId="7C488ED6">
      <w:pPr>
        <w:adjustRightInd w:val="0"/>
        <w:snapToGrid w:val="0"/>
        <w:spacing w:line="360" w:lineRule="auto"/>
        <w:ind w:firstLine="480" w:firstLineChars="200"/>
        <w:rPr>
          <w:rFonts w:ascii="仿宋" w:hAnsi="仿宋" w:eastAsia="仿宋" w:cs="宋体"/>
          <w:sz w:val="24"/>
        </w:rPr>
      </w:pPr>
    </w:p>
    <w:p w14:paraId="6BC4F05F">
      <w:pPr>
        <w:adjustRightInd w:val="0"/>
        <w:snapToGrid w:val="0"/>
        <w:spacing w:line="360" w:lineRule="auto"/>
        <w:ind w:firstLine="480" w:firstLineChars="200"/>
        <w:rPr>
          <w:rFonts w:ascii="仿宋" w:hAnsi="仿宋" w:eastAsia="仿宋" w:cs="宋体"/>
          <w:sz w:val="24"/>
        </w:rPr>
      </w:pPr>
    </w:p>
    <w:p w14:paraId="1A6A9F8C">
      <w:pPr>
        <w:adjustRightInd w:val="0"/>
        <w:snapToGrid w:val="0"/>
        <w:spacing w:line="360" w:lineRule="auto"/>
        <w:ind w:firstLine="480" w:firstLineChars="200"/>
        <w:rPr>
          <w:rFonts w:ascii="仿宋" w:hAnsi="仿宋" w:eastAsia="仿宋" w:cs="宋体"/>
          <w:sz w:val="24"/>
        </w:rPr>
      </w:pPr>
    </w:p>
    <w:p w14:paraId="41500F60">
      <w:pPr>
        <w:adjustRightInd w:val="0"/>
        <w:snapToGrid w:val="0"/>
        <w:spacing w:line="360" w:lineRule="auto"/>
        <w:ind w:firstLine="480" w:firstLineChars="200"/>
        <w:rPr>
          <w:rFonts w:ascii="仿宋" w:hAnsi="仿宋" w:eastAsia="仿宋" w:cs="宋体"/>
          <w:sz w:val="24"/>
        </w:rPr>
      </w:pPr>
    </w:p>
    <w:p w14:paraId="740032ED">
      <w:pPr>
        <w:adjustRightInd w:val="0"/>
        <w:snapToGrid w:val="0"/>
        <w:spacing w:line="360" w:lineRule="auto"/>
        <w:ind w:firstLine="480" w:firstLineChars="200"/>
        <w:rPr>
          <w:rFonts w:ascii="仿宋" w:hAnsi="仿宋" w:eastAsia="仿宋" w:cs="宋体"/>
          <w:sz w:val="24"/>
        </w:rPr>
      </w:pPr>
    </w:p>
    <w:p w14:paraId="6403D387">
      <w:pPr>
        <w:adjustRightInd w:val="0"/>
        <w:snapToGrid w:val="0"/>
        <w:spacing w:line="360" w:lineRule="auto"/>
        <w:ind w:firstLine="482" w:firstLineChars="200"/>
        <w:rPr>
          <w:rFonts w:ascii="仿宋" w:hAnsi="仿宋" w:eastAsia="仿宋" w:cs="宋体"/>
          <w:b/>
          <w:kern w:val="0"/>
          <w:sz w:val="24"/>
        </w:rPr>
      </w:pPr>
      <w:r>
        <w:rPr>
          <w:rFonts w:hint="eastAsia" w:ascii="仿宋" w:hAnsi="仿宋" w:eastAsia="仿宋" w:cs="宋体"/>
          <w:b/>
          <w:kern w:val="0"/>
          <w:sz w:val="24"/>
        </w:rPr>
        <w:br w:type="page"/>
      </w:r>
    </w:p>
    <w:p w14:paraId="5DED463B">
      <w:pPr>
        <w:adjustRightInd w:val="0"/>
        <w:snapToGrid w:val="0"/>
        <w:spacing w:line="360" w:lineRule="auto"/>
        <w:ind w:firstLine="482" w:firstLineChars="200"/>
        <w:jc w:val="center"/>
        <w:rPr>
          <w:rFonts w:ascii="仿宋" w:hAnsi="仿宋" w:eastAsia="仿宋" w:cs="宋体"/>
          <w:b/>
          <w:kern w:val="0"/>
          <w:sz w:val="24"/>
        </w:rPr>
      </w:pPr>
      <w:r>
        <w:rPr>
          <w:rFonts w:hint="eastAsia" w:ascii="仿宋" w:hAnsi="仿宋" w:eastAsia="仿宋" w:cs="宋体"/>
          <w:b/>
          <w:kern w:val="0"/>
          <w:sz w:val="24"/>
        </w:rPr>
        <w:t>法定代表人授权委托书</w:t>
      </w:r>
    </w:p>
    <w:p w14:paraId="4082292F">
      <w:pPr>
        <w:adjustRightInd w:val="0"/>
        <w:snapToGrid w:val="0"/>
        <w:spacing w:line="360" w:lineRule="auto"/>
        <w:ind w:firstLine="480" w:firstLineChars="200"/>
        <w:jc w:val="center"/>
        <w:rPr>
          <w:rFonts w:ascii="仿宋" w:hAnsi="仿宋" w:eastAsia="仿宋" w:cs="宋体"/>
          <w:color w:val="000000"/>
          <w:sz w:val="24"/>
        </w:rPr>
      </w:pPr>
    </w:p>
    <w:p w14:paraId="1C142F26">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 </w:t>
      </w:r>
      <w:r>
        <w:rPr>
          <w:rFonts w:hint="eastAsia" w:ascii="仿宋" w:hAnsi="仿宋" w:eastAsia="仿宋" w:cs="宋体"/>
          <w:sz w:val="24"/>
          <w:u w:val="single"/>
        </w:rPr>
        <w:t>（招标人名称）</w:t>
      </w:r>
      <w:r>
        <w:rPr>
          <w:rFonts w:hint="eastAsia" w:ascii="仿宋" w:hAnsi="仿宋" w:eastAsia="仿宋" w:cs="宋体"/>
          <w:sz w:val="24"/>
        </w:rPr>
        <w:t>：</w:t>
      </w:r>
    </w:p>
    <w:p w14:paraId="506ECAFB">
      <w:pPr>
        <w:adjustRightInd w:val="0"/>
        <w:snapToGrid w:val="0"/>
        <w:spacing w:line="360" w:lineRule="auto"/>
        <w:ind w:firstLine="480" w:firstLineChars="200"/>
        <w:rPr>
          <w:rFonts w:ascii="仿宋" w:hAnsi="仿宋" w:eastAsia="仿宋" w:cs="宋体"/>
          <w:sz w:val="24"/>
        </w:rPr>
      </w:pPr>
      <w:r>
        <w:rPr>
          <w:rFonts w:hint="eastAsia" w:ascii="仿宋" w:hAnsi="仿宋" w:eastAsia="仿宋" w:cs="宋体"/>
          <w:sz w:val="24"/>
          <w:u w:val="single"/>
        </w:rPr>
        <w:t xml:space="preserve">         </w:t>
      </w:r>
      <w:r>
        <w:rPr>
          <w:rFonts w:hint="eastAsia" w:ascii="仿宋" w:hAnsi="仿宋" w:eastAsia="仿宋" w:cs="宋体"/>
          <w:sz w:val="24"/>
        </w:rPr>
        <w:t>（</w:t>
      </w:r>
      <w:r>
        <w:rPr>
          <w:rFonts w:hint="eastAsia" w:ascii="仿宋" w:hAnsi="仿宋" w:eastAsia="仿宋"/>
          <w:sz w:val="24"/>
        </w:rPr>
        <w:t>竞谈人</w:t>
      </w:r>
      <w:r>
        <w:rPr>
          <w:rFonts w:hint="eastAsia" w:ascii="仿宋" w:hAnsi="仿宋" w:eastAsia="仿宋" w:cs="宋体"/>
          <w:sz w:val="24"/>
        </w:rPr>
        <w:t>全</w:t>
      </w:r>
      <w:r>
        <w:rPr>
          <w:rFonts w:hint="eastAsia" w:ascii="仿宋" w:hAnsi="仿宋" w:eastAsia="仿宋" w:cs="宋体"/>
          <w:sz w:val="24"/>
          <w:u w:val="single"/>
        </w:rPr>
        <w:t>称）</w:t>
      </w:r>
      <w:r>
        <w:rPr>
          <w:rFonts w:hint="eastAsia" w:ascii="仿宋" w:hAnsi="仿宋" w:eastAsia="仿宋" w:cs="宋体"/>
          <w:sz w:val="24"/>
        </w:rPr>
        <w:t>法定代表人</w:t>
      </w:r>
      <w:r>
        <w:rPr>
          <w:rFonts w:hint="eastAsia" w:ascii="仿宋" w:hAnsi="仿宋" w:eastAsia="仿宋" w:cs="宋体"/>
          <w:sz w:val="24"/>
          <w:u w:val="single"/>
        </w:rPr>
        <w:t xml:space="preserve">           </w:t>
      </w:r>
      <w:r>
        <w:rPr>
          <w:rFonts w:hint="eastAsia" w:ascii="仿宋" w:hAnsi="仿宋" w:eastAsia="仿宋" w:cs="宋体"/>
          <w:sz w:val="24"/>
        </w:rPr>
        <w:t>授权</w:t>
      </w:r>
      <w:r>
        <w:rPr>
          <w:rFonts w:hint="eastAsia" w:ascii="仿宋" w:hAnsi="仿宋" w:eastAsia="仿宋" w:cs="宋体"/>
          <w:sz w:val="24"/>
          <w:u w:val="single"/>
        </w:rPr>
        <w:t>（代表姓名）</w:t>
      </w:r>
      <w:r>
        <w:rPr>
          <w:rFonts w:hint="eastAsia" w:ascii="仿宋" w:hAnsi="仿宋" w:eastAsia="仿宋" w:cs="宋体"/>
          <w:sz w:val="24"/>
        </w:rPr>
        <w:t>为全权代表法定代表人，参加贵方组织的</w:t>
      </w:r>
      <w:r>
        <w:rPr>
          <w:rFonts w:hint="eastAsia" w:ascii="仿宋" w:hAnsi="仿宋" w:eastAsia="仿宋" w:cs="宋体"/>
          <w:sz w:val="24"/>
          <w:u w:val="single"/>
        </w:rPr>
        <w:t xml:space="preserve">              </w:t>
      </w:r>
      <w:r>
        <w:rPr>
          <w:rFonts w:hint="eastAsia" w:ascii="仿宋" w:hAnsi="仿宋" w:eastAsia="仿宋" w:cs="宋体"/>
          <w:sz w:val="24"/>
        </w:rPr>
        <w:t>招标活动中的一切事宜。</w:t>
      </w:r>
    </w:p>
    <w:p w14:paraId="0C794294">
      <w:pPr>
        <w:adjustRightInd w:val="0"/>
        <w:snapToGrid w:val="0"/>
        <w:spacing w:line="360" w:lineRule="auto"/>
        <w:ind w:firstLine="480" w:firstLineChars="200"/>
        <w:rPr>
          <w:rFonts w:ascii="仿宋" w:hAnsi="仿宋" w:eastAsia="仿宋" w:cs="宋体"/>
          <w:sz w:val="24"/>
        </w:rPr>
      </w:pPr>
      <w:r>
        <w:rPr>
          <w:rFonts w:hint="eastAsia" w:ascii="仿宋" w:hAnsi="仿宋" w:eastAsia="仿宋" w:cs="宋体"/>
          <w:sz w:val="24"/>
        </w:rPr>
        <w:t>法定代表人授权委托书有效期</w:t>
      </w: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日至</w:t>
      </w: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w:t>
      </w:r>
    </w:p>
    <w:p w14:paraId="064C7514">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竞谈人全称（公章）：</w:t>
      </w:r>
    </w:p>
    <w:p w14:paraId="00AD3978">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法定代表人（签字）： </w:t>
      </w:r>
    </w:p>
    <w:p w14:paraId="129993D1">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授权委托人（签字）：  </w:t>
      </w:r>
    </w:p>
    <w:p w14:paraId="44D6A5CA">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身份证号码：</w:t>
      </w:r>
    </w:p>
    <w:p w14:paraId="7A7D6BE5">
      <w:pPr>
        <w:adjustRightInd w:val="0"/>
        <w:snapToGrid w:val="0"/>
        <w:spacing w:line="360" w:lineRule="auto"/>
        <w:ind w:firstLine="480" w:firstLineChars="200"/>
        <w:jc w:val="left"/>
        <w:rPr>
          <w:rFonts w:ascii="仿宋" w:hAnsi="仿宋" w:eastAsia="仿宋" w:cs="宋体"/>
          <w:color w:val="000000"/>
          <w:sz w:val="24"/>
        </w:rPr>
      </w:pPr>
      <w:r>
        <w:rPr>
          <w:rFonts w:hint="eastAsia" w:ascii="仿宋" w:hAnsi="仿宋" w:eastAsia="仿宋" w:cs="宋体"/>
          <w:color w:val="000000"/>
          <w:sz w:val="24"/>
        </w:rPr>
        <w:t>联系电话：</w:t>
      </w:r>
    </w:p>
    <w:p w14:paraId="697C0A21">
      <w:pPr>
        <w:adjustRightInd w:val="0"/>
        <w:snapToGrid w:val="0"/>
        <w:spacing w:line="360" w:lineRule="auto"/>
        <w:ind w:firstLine="480" w:firstLineChars="200"/>
        <w:jc w:val="left"/>
        <w:rPr>
          <w:rFonts w:ascii="仿宋" w:hAnsi="仿宋" w:eastAsia="仿宋" w:cs="宋体"/>
          <w:color w:val="000000"/>
          <w:sz w:val="24"/>
        </w:rPr>
      </w:pPr>
      <w:r>
        <w:rPr>
          <w:rFonts w:hint="eastAsia" w:ascii="仿宋" w:hAnsi="仿宋" w:eastAsia="仿宋" w:cs="宋体"/>
          <w:color w:val="000000"/>
          <w:sz w:val="24"/>
        </w:rPr>
        <w:t>职      务：</w:t>
      </w:r>
    </w:p>
    <w:p w14:paraId="0E406285">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 xml:space="preserve">                                    2024年  月  日    </w:t>
      </w:r>
    </w:p>
    <w:p w14:paraId="63DCA290">
      <w:pPr>
        <w:adjustRightInd w:val="0"/>
        <w:snapToGrid w:val="0"/>
        <w:spacing w:line="360" w:lineRule="auto"/>
        <w:ind w:firstLine="482" w:firstLineChars="200"/>
        <w:rPr>
          <w:rFonts w:ascii="仿宋" w:hAnsi="仿宋" w:eastAsia="仿宋" w:cs="宋体"/>
          <w:b/>
          <w:bCs/>
          <w:color w:val="000000"/>
          <w:sz w:val="24"/>
        </w:rPr>
      </w:pPr>
      <w:r>
        <w:rPr>
          <w:rFonts w:hint="eastAsia" w:ascii="仿宋" w:hAnsi="仿宋" w:eastAsia="仿宋" w:cs="宋体"/>
          <w:b/>
          <w:bCs/>
          <w:color w:val="000000"/>
          <w:sz w:val="24"/>
        </w:rPr>
        <w:t>附：</w:t>
      </w:r>
    </w:p>
    <w:tbl>
      <w:tblPr>
        <w:tblStyle w:val="14"/>
        <w:tblW w:w="87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98"/>
        <w:gridCol w:w="4253"/>
      </w:tblGrid>
      <w:tr w14:paraId="696CA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8" w:hRule="atLeast"/>
          <w:jc w:val="center"/>
        </w:trPr>
        <w:tc>
          <w:tcPr>
            <w:tcW w:w="4498" w:type="dxa"/>
          </w:tcPr>
          <w:p w14:paraId="5F192358">
            <w:pPr>
              <w:adjustRightInd w:val="0"/>
              <w:snapToGrid w:val="0"/>
              <w:spacing w:line="360" w:lineRule="auto"/>
              <w:ind w:firstLine="480" w:firstLineChars="200"/>
              <w:jc w:val="center"/>
              <w:rPr>
                <w:rFonts w:ascii="仿宋" w:hAnsi="仿宋" w:eastAsia="仿宋" w:cs="宋体"/>
                <w:color w:val="000000"/>
                <w:sz w:val="24"/>
              </w:rPr>
            </w:pPr>
            <w:r>
              <w:rPr>
                <w:rFonts w:hint="eastAsia" w:ascii="仿宋" w:hAnsi="仿宋" w:eastAsia="仿宋" w:cs="宋体"/>
                <w:color w:val="000000"/>
                <w:sz w:val="24"/>
              </w:rPr>
              <w:t>法定代表人身份证复印件（正反面）</w:t>
            </w:r>
          </w:p>
        </w:tc>
        <w:tc>
          <w:tcPr>
            <w:tcW w:w="4253" w:type="dxa"/>
          </w:tcPr>
          <w:p w14:paraId="05022D36">
            <w:pPr>
              <w:adjustRightInd w:val="0"/>
              <w:snapToGrid w:val="0"/>
              <w:spacing w:line="360" w:lineRule="auto"/>
              <w:ind w:firstLine="480" w:firstLineChars="200"/>
              <w:jc w:val="center"/>
              <w:rPr>
                <w:rFonts w:ascii="仿宋" w:hAnsi="仿宋" w:eastAsia="仿宋" w:cs="宋体"/>
                <w:color w:val="000000"/>
                <w:sz w:val="24"/>
              </w:rPr>
            </w:pPr>
            <w:r>
              <w:rPr>
                <w:rFonts w:hint="eastAsia" w:ascii="仿宋" w:hAnsi="仿宋" w:eastAsia="仿宋" w:cs="宋体"/>
                <w:color w:val="000000"/>
                <w:sz w:val="24"/>
              </w:rPr>
              <w:t>授权委托人身份证复印件（正反面）</w:t>
            </w:r>
          </w:p>
        </w:tc>
      </w:tr>
    </w:tbl>
    <w:p w14:paraId="4B261751">
      <w:pPr>
        <w:adjustRightInd w:val="0"/>
        <w:snapToGrid w:val="0"/>
        <w:spacing w:line="360" w:lineRule="auto"/>
        <w:ind w:firstLine="482" w:firstLineChars="200"/>
        <w:jc w:val="center"/>
        <w:rPr>
          <w:rFonts w:ascii="仿宋" w:hAnsi="仿宋" w:eastAsia="仿宋"/>
          <w:b/>
          <w:sz w:val="24"/>
        </w:rPr>
      </w:pPr>
      <w:r>
        <w:rPr>
          <w:rFonts w:hint="eastAsia" w:ascii="仿宋" w:hAnsi="仿宋" w:eastAsia="仿宋"/>
          <w:b/>
          <w:sz w:val="24"/>
        </w:rPr>
        <w:t>授权委托人社保证明材料</w:t>
      </w:r>
    </w:p>
    <w:p w14:paraId="76B20D7E">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r>
        <w:rPr>
          <w:rFonts w:hint="eastAsia" w:ascii="仿宋" w:hAnsi="仿宋" w:eastAsia="仿宋"/>
          <w:iCs/>
          <w:color w:val="FF0000"/>
          <w:sz w:val="24"/>
          <w:shd w:val="clear" w:color="auto" w:fill="FFFFFF"/>
        </w:rPr>
        <w:t>（要求：1、具备社保局出具的材料；2、具备本单位名称及授权委托人姓名，近一年）</w:t>
      </w:r>
    </w:p>
    <w:p w14:paraId="22FDCFAB">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14:paraId="50D5CB27">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14:paraId="053F50F5">
      <w:pPr>
        <w:keepNext w:val="0"/>
        <w:keepLines w:val="0"/>
        <w:pageBreakBefore w:val="0"/>
        <w:kinsoku/>
        <w:wordWrap w:val="0"/>
        <w:overflowPunct/>
        <w:bidi w:val="0"/>
        <w:spacing w:line="460" w:lineRule="exact"/>
        <w:ind w:right="0" w:rightChars="0"/>
        <w:textAlignment w:val="auto"/>
        <w:rPr>
          <w:rFonts w:hint="eastAsia" w:ascii="仿宋" w:hAnsi="仿宋" w:eastAsia="仿宋" w:cs="仿宋"/>
          <w:b/>
          <w:sz w:val="21"/>
          <w:szCs w:val="21"/>
        </w:rPr>
      </w:pPr>
      <w:r>
        <w:rPr>
          <w:rFonts w:hint="eastAsia" w:ascii="仿宋" w:hAnsi="仿宋" w:eastAsia="仿宋" w:cs="仿宋"/>
          <w:sz w:val="21"/>
          <w:szCs w:val="21"/>
        </w:rPr>
        <w:t>附件</w:t>
      </w:r>
      <w:r>
        <w:rPr>
          <w:rFonts w:hint="eastAsia" w:ascii="仿宋" w:hAnsi="仿宋" w:eastAsia="仿宋" w:cs="仿宋"/>
          <w:sz w:val="21"/>
          <w:szCs w:val="21"/>
          <w:lang w:val="en-US" w:eastAsia="zh-CN"/>
        </w:rPr>
        <w:t>2</w:t>
      </w:r>
      <w:r>
        <w:rPr>
          <w:rFonts w:hint="eastAsia" w:ascii="仿宋" w:hAnsi="仿宋" w:eastAsia="仿宋" w:cs="仿宋"/>
          <w:sz w:val="21"/>
          <w:szCs w:val="21"/>
        </w:rPr>
        <w:t>：</w:t>
      </w:r>
    </w:p>
    <w:p w14:paraId="4FF1BFDA">
      <w:pPr>
        <w:keepNext w:val="0"/>
        <w:keepLines w:val="0"/>
        <w:pageBreakBefore w:val="0"/>
        <w:kinsoku/>
        <w:overflowPunct/>
        <w:bidi w:val="0"/>
        <w:spacing w:line="460" w:lineRule="exact"/>
        <w:ind w:right="0" w:rightChars="0"/>
        <w:jc w:val="left"/>
        <w:textAlignment w:val="auto"/>
        <w:rPr>
          <w:rFonts w:hint="default" w:ascii="仿宋" w:hAnsi="仿宋" w:eastAsia="仿宋" w:cs="仿宋"/>
          <w:b/>
          <w:sz w:val="21"/>
          <w:szCs w:val="21"/>
          <w:lang w:val="en-US" w:eastAsia="zh-CN"/>
        </w:rPr>
      </w:pPr>
      <w:r>
        <w:rPr>
          <w:rFonts w:hint="eastAsia" w:ascii="仿宋" w:hAnsi="仿宋" w:eastAsia="仿宋" w:cs="仿宋"/>
          <w:b/>
          <w:sz w:val="21"/>
          <w:szCs w:val="21"/>
          <w:lang w:val="en-US" w:eastAsia="zh-CN"/>
        </w:rPr>
        <w:t>附件2：</w:t>
      </w:r>
    </w:p>
    <w:p w14:paraId="2E715E3E">
      <w:pPr>
        <w:keepNext w:val="0"/>
        <w:keepLines w:val="0"/>
        <w:pageBreakBefore w:val="0"/>
        <w:kinsoku/>
        <w:overflowPunct/>
        <w:bidi w:val="0"/>
        <w:spacing w:line="460" w:lineRule="exact"/>
        <w:ind w:right="0" w:rightChars="0"/>
        <w:jc w:val="center"/>
        <w:textAlignment w:val="auto"/>
        <w:rPr>
          <w:rFonts w:hint="eastAsia" w:ascii="仿宋" w:hAnsi="仿宋" w:eastAsia="仿宋" w:cs="仿宋"/>
          <w:b/>
          <w:sz w:val="21"/>
          <w:szCs w:val="21"/>
        </w:rPr>
      </w:pPr>
      <w:r>
        <w:rPr>
          <w:rFonts w:hint="eastAsia" w:ascii="仿宋" w:hAnsi="仿宋" w:eastAsia="仿宋" w:cs="仿宋"/>
          <w:b/>
          <w:sz w:val="21"/>
          <w:szCs w:val="21"/>
        </w:rPr>
        <w:t>潜在竞价单位报名提供信息表</w:t>
      </w:r>
    </w:p>
    <w:tbl>
      <w:tblPr>
        <w:tblStyle w:val="14"/>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399"/>
        <w:gridCol w:w="1630"/>
        <w:gridCol w:w="1538"/>
        <w:gridCol w:w="1713"/>
        <w:gridCol w:w="1856"/>
      </w:tblGrid>
      <w:tr w14:paraId="6BB7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85" w:type="dxa"/>
            <w:vAlign w:val="center"/>
          </w:tcPr>
          <w:p w14:paraId="754629F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序号</w:t>
            </w:r>
          </w:p>
        </w:tc>
        <w:tc>
          <w:tcPr>
            <w:tcW w:w="2399" w:type="dxa"/>
            <w:vAlign w:val="center"/>
          </w:tcPr>
          <w:p w14:paraId="461EE5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潜在竞价单位名称</w:t>
            </w:r>
          </w:p>
        </w:tc>
        <w:tc>
          <w:tcPr>
            <w:tcW w:w="1630" w:type="dxa"/>
            <w:vAlign w:val="center"/>
          </w:tcPr>
          <w:p w14:paraId="3526984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标段</w:t>
            </w:r>
          </w:p>
        </w:tc>
        <w:tc>
          <w:tcPr>
            <w:tcW w:w="1538" w:type="dxa"/>
            <w:vAlign w:val="center"/>
          </w:tcPr>
          <w:p w14:paraId="76C9BEF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联系人</w:t>
            </w:r>
          </w:p>
        </w:tc>
        <w:tc>
          <w:tcPr>
            <w:tcW w:w="1713" w:type="dxa"/>
            <w:vAlign w:val="center"/>
          </w:tcPr>
          <w:p w14:paraId="329547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联系电话</w:t>
            </w:r>
          </w:p>
        </w:tc>
        <w:tc>
          <w:tcPr>
            <w:tcW w:w="1856" w:type="dxa"/>
            <w:vAlign w:val="center"/>
          </w:tcPr>
          <w:p w14:paraId="4A198D2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邮箱地址</w:t>
            </w:r>
          </w:p>
        </w:tc>
      </w:tr>
      <w:tr w14:paraId="4D3C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jc w:val="center"/>
        </w:trPr>
        <w:tc>
          <w:tcPr>
            <w:tcW w:w="885" w:type="dxa"/>
          </w:tcPr>
          <w:p w14:paraId="24A56F1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2399" w:type="dxa"/>
          </w:tcPr>
          <w:p w14:paraId="7FF4127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630" w:type="dxa"/>
          </w:tcPr>
          <w:p w14:paraId="15EC8D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538" w:type="dxa"/>
          </w:tcPr>
          <w:p w14:paraId="4BB692F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713" w:type="dxa"/>
          </w:tcPr>
          <w:p w14:paraId="02D9B40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856" w:type="dxa"/>
          </w:tcPr>
          <w:p w14:paraId="490565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r>
    </w:tbl>
    <w:p w14:paraId="0D3CEE08">
      <w:pPr>
        <w:keepNext w:val="0"/>
        <w:keepLines w:val="0"/>
        <w:pageBreakBefore w:val="0"/>
        <w:kinsoku/>
        <w:overflowPunct/>
        <w:bidi w:val="0"/>
        <w:spacing w:line="460" w:lineRule="exact"/>
        <w:ind w:right="0" w:rightChars="0"/>
        <w:textAlignment w:val="auto"/>
        <w:rPr>
          <w:rFonts w:hint="eastAsia" w:ascii="仿宋" w:hAnsi="仿宋" w:eastAsia="仿宋" w:cs="仿宋"/>
          <w:sz w:val="21"/>
          <w:szCs w:val="21"/>
        </w:rPr>
      </w:pPr>
    </w:p>
    <w:p w14:paraId="2F48571E">
      <w:pPr>
        <w:adjustRightInd w:val="0"/>
        <w:snapToGrid w:val="0"/>
        <w:spacing w:line="360" w:lineRule="auto"/>
        <w:ind w:firstLine="482" w:firstLineChars="200"/>
        <w:jc w:val="center"/>
        <w:rPr>
          <w:rFonts w:hint="eastAsia" w:ascii="仿宋" w:hAnsi="仿宋" w:eastAsia="仿宋" w:cs="仿宋"/>
          <w:b/>
          <w:bCs/>
          <w:color w:val="000000"/>
          <w:sz w:val="24"/>
        </w:rPr>
        <w:sectPr>
          <w:pgSz w:w="11906" w:h="16838"/>
          <w:pgMar w:top="1134" w:right="1134" w:bottom="1134" w:left="1134" w:header="851" w:footer="992" w:gutter="0"/>
          <w:cols w:space="425" w:num="1"/>
          <w:docGrid w:type="lines" w:linePitch="312" w:charSpace="0"/>
        </w:sectPr>
      </w:pPr>
    </w:p>
    <w:p w14:paraId="7E9C220D">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14:paraId="226A6B02">
      <w:pPr>
        <w:widowControl/>
        <w:adjustRightInd w:val="0"/>
        <w:snapToGrid w:val="0"/>
        <w:spacing w:line="360" w:lineRule="auto"/>
        <w:jc w:val="left"/>
        <w:rPr>
          <w:rFonts w:ascii="仿宋" w:hAnsi="仿宋" w:eastAsia="仿宋" w:cs="仿宋"/>
          <w:sz w:val="24"/>
        </w:rPr>
      </w:pPr>
    </w:p>
    <w:p w14:paraId="74BAB9F1">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附件</w:t>
      </w:r>
      <w:r>
        <w:rPr>
          <w:rFonts w:hint="eastAsia" w:ascii="仿宋" w:hAnsi="仿宋" w:eastAsia="仿宋" w:cs="仿宋"/>
          <w:sz w:val="24"/>
          <w:lang w:val="en-US" w:eastAsia="zh-CN"/>
        </w:rPr>
        <w:t>3</w:t>
      </w:r>
      <w:r>
        <w:rPr>
          <w:rFonts w:hint="eastAsia" w:ascii="仿宋" w:hAnsi="仿宋" w:eastAsia="仿宋" w:cs="仿宋"/>
          <w:sz w:val="24"/>
        </w:rPr>
        <w:t>：</w:t>
      </w:r>
    </w:p>
    <w:p w14:paraId="1325A988">
      <w:pPr>
        <w:adjustRightInd w:val="0"/>
        <w:snapToGrid w:val="0"/>
        <w:spacing w:line="360" w:lineRule="auto"/>
        <w:ind w:firstLine="482" w:firstLineChars="200"/>
        <w:jc w:val="center"/>
        <w:rPr>
          <w:rFonts w:ascii="仿宋" w:hAnsi="仿宋" w:eastAsia="仿宋" w:cs="仿宋"/>
          <w:b/>
          <w:bCs/>
          <w:color w:val="000000"/>
          <w:sz w:val="24"/>
        </w:rPr>
      </w:pPr>
      <w:r>
        <w:rPr>
          <w:rFonts w:hint="eastAsia" w:ascii="仿宋" w:hAnsi="仿宋" w:eastAsia="仿宋" w:cs="仿宋"/>
          <w:b/>
          <w:bCs/>
          <w:color w:val="000000"/>
          <w:sz w:val="24"/>
        </w:rPr>
        <w:t>保密承诺书</w:t>
      </w:r>
    </w:p>
    <w:p w14:paraId="53E0F09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甲方：内蒙古蒙牛乳业（集团）股份有限公司</w:t>
      </w:r>
    </w:p>
    <w:p w14:paraId="7742228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地址：内蒙古呼和浩特市和林格尔县盛乐经济园区</w:t>
      </w:r>
    </w:p>
    <w:p w14:paraId="2FFEDFF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乙方（承诺方）：</w:t>
      </w:r>
    </w:p>
    <w:p w14:paraId="3346DCE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地址：</w:t>
      </w:r>
    </w:p>
    <w:p w14:paraId="7662B7B3">
      <w:pPr>
        <w:widowControl/>
        <w:shd w:val="clear" w:color="auto" w:fill="FFFFFF"/>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甲乙双方就</w:t>
      </w:r>
      <w:r>
        <w:rPr>
          <w:rFonts w:hint="eastAsia" w:ascii="仿宋" w:hAnsi="仿宋" w:eastAsia="仿宋" w:cs="仿宋"/>
          <w:color w:val="000000"/>
          <w:sz w:val="24"/>
          <w:u w:val="single"/>
        </w:rPr>
        <w:t xml:space="preserve">                 （项目名称）</w:t>
      </w:r>
      <w:r>
        <w:rPr>
          <w:rFonts w:hint="eastAsia" w:ascii="仿宋" w:hAnsi="仿宋" w:eastAsia="仿宋" w:cs="仿宋"/>
          <w:color w:val="000000"/>
          <w:sz w:val="24"/>
        </w:rPr>
        <w:t>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14:paraId="630A83A2">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一、定义</w:t>
      </w:r>
    </w:p>
    <w:p w14:paraId="4E60B62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开发、发明、服务、客户、市场、软件、硬件、设计、图纸、工程、构造信息、营销或财务相关的信息。机密信息并不包括下述信息：</w:t>
      </w:r>
    </w:p>
    <w:p w14:paraId="09D12A0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（一）由乙方以书面文件证明：该等信息已于披露之前已由乙方所持有；</w:t>
      </w:r>
    </w:p>
    <w:p w14:paraId="6BEC723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（二）已公开发表或非因乙方作为或不作为的原因，已向公众披露；</w:t>
      </w:r>
    </w:p>
    <w:p w14:paraId="1EA5D8C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（三）已由甲方书面同意乙方公开；</w:t>
      </w:r>
    </w:p>
    <w:p w14:paraId="2AF4D28D">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（四）由乙方在未使用该等机密信息的情形下独立开发；</w:t>
      </w:r>
    </w:p>
    <w:p w14:paraId="5776126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（五）乙方从第三方处合法、正当地取得，且该第三方对该等机密信息不承担保密义务。</w:t>
      </w:r>
    </w:p>
    <w:p w14:paraId="3C0AEA91">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二、保密</w:t>
      </w:r>
    </w:p>
    <w:p w14:paraId="65284CFD">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     </w:t>
      </w:r>
    </w:p>
    <w:p w14:paraId="31F3C460">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三、公开</w:t>
      </w:r>
    </w:p>
    <w:p w14:paraId="581AE8DA">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乙方或其代表人员无权擅自将甲方的公司名称、商号、商标及其他名称用作广告宣传或对外公开。未经甲方的事先书面同意，乙方或其代表人员不得透露本承诺书及其相关内容，本承诺书第4条“强制性披露”条款所述情形除外。                                                                                                                                                               </w:t>
      </w:r>
    </w:p>
    <w:p w14:paraId="69753530">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四、强制性披露</w:t>
      </w:r>
    </w:p>
    <w:p w14:paraId="3804EBF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14:paraId="0EC06780">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五、返还资料</w:t>
      </w:r>
    </w:p>
    <w:p w14:paraId="58AC8146">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在承诺书目的终止、撤消、完成、被拒绝或以其他方式解除后，根据甲方的书面要求，乙方应在项目谈判协商终止后的</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14:paraId="02F0A69C">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六、非授权许可</w:t>
      </w:r>
    </w:p>
    <w:p w14:paraId="196B816A">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除为查阅或使用机密信息以达成本承诺书目的之权利外，本承诺书中甲方未将专利权、版权、商业秘密或其他知识产权项下权利转让给乙方，同时也未将甲方的机密信息内所含或所属的权利转让给乙方。</w:t>
      </w:r>
    </w:p>
    <w:p w14:paraId="30DAAD1B">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七、义务限定</w:t>
      </w:r>
    </w:p>
    <w:p w14:paraId="0504ECF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本承诺书不得被视作或解释为甲方有义务向乙方提供任何信息、与乙方进行商业交易或签订任何最终协议，除非甲方决定向乙方提供信息或与其签订与交易有关的最终协议。</w:t>
      </w:r>
    </w:p>
    <w:p w14:paraId="45C10E12">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八、信息准确性</w:t>
      </w:r>
    </w:p>
    <w:p w14:paraId="1D703F1C">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甲方、甲方的子公司及分公司并未就其向乙方披露的任何机密信息的准确性、可靠性及完整性作出明示或暗示的声明或保证，且对乙方、其代表人员或其他使用该等机密信息的人员不承担任何责任。</w:t>
      </w:r>
    </w:p>
    <w:p w14:paraId="56DEE778">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九、期限</w:t>
      </w:r>
    </w:p>
    <w:p w14:paraId="03625AC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本承诺书中乙方之保密义务应自乙方收到机密信息之日起</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年内持续有效，且不因承诺书目的之达成而终止。</w:t>
      </w:r>
    </w:p>
    <w:p w14:paraId="60C18351">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十、补充条款</w:t>
      </w:r>
    </w:p>
    <w:p w14:paraId="7439387F">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（一）合规条款</w:t>
      </w:r>
    </w:p>
    <w:p w14:paraId="103711B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14:paraId="52DF356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2、履约行为合规承诺：乙方承诺具有履行本承诺书约定的能力，且履行行为符合现行法律法规等规范性文件的要求。</w:t>
      </w:r>
    </w:p>
    <w:p w14:paraId="61C18FD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14:paraId="4460900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4、合规检查：乙方应积极配合甲方的合规检查，理解并接受甲方对乙方的合规管理要求，同意配合合规检查，并不得隐瞒任何可能对甲方利益造成影响的信息。</w:t>
      </w:r>
    </w:p>
    <w:p w14:paraId="314414A9">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5、劳动用工: 乙方承诺不雇佣、使用童工，保障其员工的劳动合法权益，不纵容、支持、实施歧视、威胁员工的行为或发布相关言论。</w:t>
      </w:r>
    </w:p>
    <w:p w14:paraId="72F81A91">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14:paraId="79F36DA1">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7、严格约束乙方员工及其代理人：乙方承诺严格遵守合规承诺条款，若乙方员工及乙方的代理人或代理机构违反相关承诺即视为乙方违反。</w:t>
      </w:r>
    </w:p>
    <w:p w14:paraId="25C3D2A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14:paraId="060E084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14:paraId="621B9C5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10、责任承担：如果乙方违反前述合规承诺条款，甲方有权要求乙方承担因此而给甲方造成的全部损失。</w:t>
      </w:r>
    </w:p>
    <w:p w14:paraId="13E1404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11、适用原则：本承诺书中合规条款对乙方的要求与承诺书中其他条款不一致的，以对乙方要求更高的条款为准。</w:t>
      </w:r>
    </w:p>
    <w:p w14:paraId="1286DC0F">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（二）环境保护</w:t>
      </w:r>
    </w:p>
    <w:p w14:paraId="5D50C17C">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14:paraId="54CD35A3">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（三）附件法律效力条款</w:t>
      </w:r>
    </w:p>
    <w:p w14:paraId="21159AF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本着接受法律上之约束的意向，双方特此同意本承诺书全部附录、附件等均为本承诺书不可分割的部分，共同构成双方就达成的全部承诺书，与本承诺书具有同等法律效力。</w:t>
      </w:r>
    </w:p>
    <w:p w14:paraId="08D6C11A">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十一、适用法律</w:t>
      </w:r>
    </w:p>
    <w:p w14:paraId="1CD43939">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本承诺书适用中华人民共和国法律，因本承诺书引起或与本承诺书有关的任何争议，应由双方友好协商解决，协商不成的，双方同意选择第【二】种方式解决：</w:t>
      </w:r>
    </w:p>
    <w:p w14:paraId="109E8C9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（一）向呼和浩特仲裁委员会申请仲裁。因仲裁产生的包括但不限于仲裁费、律师费、调查费、差旅费等，由乙方承担。</w:t>
      </w:r>
    </w:p>
    <w:p w14:paraId="1D9DD93A">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（二）向甲方所在地有管辖权的人民法院提起诉讼。因诉讼产生的包括但不限于诉讼费、律师费、调查费、差旅费等，由乙方承担。</w:t>
      </w:r>
    </w:p>
    <w:p w14:paraId="684E14F6">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十二、违约责任及救济</w:t>
      </w:r>
    </w:p>
    <w:p w14:paraId="2F8CEDE5">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14:paraId="759561D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如果乙方违反本承诺书的任何规定情形,则甲方有权将乙方拉入蒙牛供应商黑名单，乙方应积极配合甲方在10个工作日内收回已经泄露的信息。</w:t>
      </w:r>
    </w:p>
    <w:p w14:paraId="02D0021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十三、生效</w:t>
      </w:r>
    </w:p>
    <w:p w14:paraId="0FCE2F9C">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本承诺书经乙方签字盖章之日起生效。</w:t>
      </w:r>
    </w:p>
    <w:p w14:paraId="5B7737B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（以下无正文）                          </w:t>
      </w:r>
    </w:p>
    <w:p w14:paraId="03893971">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乙方（承诺方）：</w:t>
      </w:r>
    </w:p>
    <w:p w14:paraId="7D223D8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代表人（签字）：</w:t>
      </w:r>
    </w:p>
    <w:p w14:paraId="60E9E80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日期：</w:t>
      </w:r>
    </w:p>
    <w:p w14:paraId="749B4150">
      <w:pPr>
        <w:adjustRightInd w:val="0"/>
        <w:snapToGrid w:val="0"/>
        <w:spacing w:line="360" w:lineRule="auto"/>
        <w:ind w:firstLine="480" w:firstLineChars="200"/>
        <w:jc w:val="left"/>
        <w:rPr>
          <w:rFonts w:ascii="仿宋" w:hAnsi="仿宋" w:eastAsia="仿宋" w:cs="仿宋"/>
          <w:color w:val="000000"/>
          <w:sz w:val="24"/>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417C07"/>
    <w:multiLevelType w:val="singleLevel"/>
    <w:tmpl w:val="B3417C07"/>
    <w:lvl w:ilvl="0" w:tentative="0">
      <w:start w:val="2"/>
      <w:numFmt w:val="decimal"/>
      <w:suff w:val="space"/>
      <w:lvlText w:val="%1."/>
      <w:lvlJc w:val="left"/>
    </w:lvl>
  </w:abstractNum>
  <w:abstractNum w:abstractNumId="1">
    <w:nsid w:val="CE3D69B7"/>
    <w:multiLevelType w:val="singleLevel"/>
    <w:tmpl w:val="CE3D69B7"/>
    <w:lvl w:ilvl="0" w:tentative="0">
      <w:start w:val="1"/>
      <w:numFmt w:val="decimal"/>
      <w:lvlText w:val="(%1)"/>
      <w:lvlJc w:val="left"/>
      <w:pPr>
        <w:ind w:left="425" w:hanging="425"/>
      </w:pPr>
      <w:rPr>
        <w:rFonts w:hint="default"/>
      </w:rPr>
    </w:lvl>
  </w:abstractNum>
  <w:abstractNum w:abstractNumId="2">
    <w:nsid w:val="0ACD784C"/>
    <w:multiLevelType w:val="singleLevel"/>
    <w:tmpl w:val="0ACD784C"/>
    <w:lvl w:ilvl="0" w:tentative="0">
      <w:start w:val="1"/>
      <w:numFmt w:val="decimal"/>
      <w:suff w:val="nothing"/>
      <w:lvlText w:val="（%1）"/>
      <w:lvlJc w:val="left"/>
    </w:lvl>
  </w:abstractNum>
  <w:abstractNum w:abstractNumId="3">
    <w:nsid w:val="0B437EF8"/>
    <w:multiLevelType w:val="singleLevel"/>
    <w:tmpl w:val="0B437EF8"/>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MWZjZDg2ZmJkMjhmMTFlNmI0ZmRlYTAwMTI4MDIifQ=="/>
  </w:docVars>
  <w:rsids>
    <w:rsidRoot w:val="00E260EB"/>
    <w:rsid w:val="000073D3"/>
    <w:rsid w:val="00012D4F"/>
    <w:rsid w:val="000135C9"/>
    <w:rsid w:val="00026FB2"/>
    <w:rsid w:val="00040475"/>
    <w:rsid w:val="000461D4"/>
    <w:rsid w:val="000667FD"/>
    <w:rsid w:val="000C1C3B"/>
    <w:rsid w:val="000C38B6"/>
    <w:rsid w:val="00155192"/>
    <w:rsid w:val="00155C88"/>
    <w:rsid w:val="00173BAE"/>
    <w:rsid w:val="00183128"/>
    <w:rsid w:val="00185DAA"/>
    <w:rsid w:val="001B425A"/>
    <w:rsid w:val="001C08CD"/>
    <w:rsid w:val="001C5FBE"/>
    <w:rsid w:val="001D447F"/>
    <w:rsid w:val="001F12F8"/>
    <w:rsid w:val="001F4924"/>
    <w:rsid w:val="00200160"/>
    <w:rsid w:val="00216E0A"/>
    <w:rsid w:val="00275873"/>
    <w:rsid w:val="00276B92"/>
    <w:rsid w:val="002826F1"/>
    <w:rsid w:val="0029281E"/>
    <w:rsid w:val="002D3DF4"/>
    <w:rsid w:val="00306A46"/>
    <w:rsid w:val="00352333"/>
    <w:rsid w:val="00362E82"/>
    <w:rsid w:val="003A5499"/>
    <w:rsid w:val="003A5F3B"/>
    <w:rsid w:val="00401A33"/>
    <w:rsid w:val="00417908"/>
    <w:rsid w:val="00450E25"/>
    <w:rsid w:val="0047617E"/>
    <w:rsid w:val="004908F8"/>
    <w:rsid w:val="004E592F"/>
    <w:rsid w:val="005027C6"/>
    <w:rsid w:val="0051203D"/>
    <w:rsid w:val="00534246"/>
    <w:rsid w:val="00546250"/>
    <w:rsid w:val="0054666A"/>
    <w:rsid w:val="005467BF"/>
    <w:rsid w:val="00587FC4"/>
    <w:rsid w:val="00593231"/>
    <w:rsid w:val="005A22C6"/>
    <w:rsid w:val="005A62A5"/>
    <w:rsid w:val="005B6DC7"/>
    <w:rsid w:val="005B72AB"/>
    <w:rsid w:val="005C3B0B"/>
    <w:rsid w:val="005D1999"/>
    <w:rsid w:val="006112B4"/>
    <w:rsid w:val="00632FD4"/>
    <w:rsid w:val="00647EAA"/>
    <w:rsid w:val="00661C58"/>
    <w:rsid w:val="006955BC"/>
    <w:rsid w:val="006A2989"/>
    <w:rsid w:val="006A5BE1"/>
    <w:rsid w:val="006E7505"/>
    <w:rsid w:val="006F7AC3"/>
    <w:rsid w:val="0070301D"/>
    <w:rsid w:val="0071554C"/>
    <w:rsid w:val="00750DF4"/>
    <w:rsid w:val="00752794"/>
    <w:rsid w:val="0076189B"/>
    <w:rsid w:val="0077106B"/>
    <w:rsid w:val="0078651B"/>
    <w:rsid w:val="00787DB1"/>
    <w:rsid w:val="007D7DCA"/>
    <w:rsid w:val="007F5523"/>
    <w:rsid w:val="00823681"/>
    <w:rsid w:val="00823CA1"/>
    <w:rsid w:val="008246DA"/>
    <w:rsid w:val="00836A1B"/>
    <w:rsid w:val="008818EE"/>
    <w:rsid w:val="0088396C"/>
    <w:rsid w:val="008C17CC"/>
    <w:rsid w:val="008C30C0"/>
    <w:rsid w:val="008E1ED0"/>
    <w:rsid w:val="009116EE"/>
    <w:rsid w:val="00933D89"/>
    <w:rsid w:val="009341F0"/>
    <w:rsid w:val="00943C61"/>
    <w:rsid w:val="00944B16"/>
    <w:rsid w:val="00962895"/>
    <w:rsid w:val="0096474B"/>
    <w:rsid w:val="00972CC2"/>
    <w:rsid w:val="009B617D"/>
    <w:rsid w:val="009B7D09"/>
    <w:rsid w:val="009C3732"/>
    <w:rsid w:val="009F0913"/>
    <w:rsid w:val="00A141E8"/>
    <w:rsid w:val="00A22D3B"/>
    <w:rsid w:val="00A60485"/>
    <w:rsid w:val="00A60E3E"/>
    <w:rsid w:val="00A970A7"/>
    <w:rsid w:val="00AB1BB0"/>
    <w:rsid w:val="00AB3BDC"/>
    <w:rsid w:val="00AB5B32"/>
    <w:rsid w:val="00AD00BF"/>
    <w:rsid w:val="00B077BD"/>
    <w:rsid w:val="00B44353"/>
    <w:rsid w:val="00B972C8"/>
    <w:rsid w:val="00B977EB"/>
    <w:rsid w:val="00BB4741"/>
    <w:rsid w:val="00C10ECC"/>
    <w:rsid w:val="00C14B14"/>
    <w:rsid w:val="00C20D44"/>
    <w:rsid w:val="00C26DE5"/>
    <w:rsid w:val="00C311F3"/>
    <w:rsid w:val="00C33FD4"/>
    <w:rsid w:val="00C435F0"/>
    <w:rsid w:val="00C47335"/>
    <w:rsid w:val="00C638B7"/>
    <w:rsid w:val="00C674CE"/>
    <w:rsid w:val="00C723FC"/>
    <w:rsid w:val="00C772DC"/>
    <w:rsid w:val="00CB1637"/>
    <w:rsid w:val="00CC1EBE"/>
    <w:rsid w:val="00CE6E3B"/>
    <w:rsid w:val="00D344C7"/>
    <w:rsid w:val="00D361E7"/>
    <w:rsid w:val="00D40371"/>
    <w:rsid w:val="00D41168"/>
    <w:rsid w:val="00D9264F"/>
    <w:rsid w:val="00D96E0D"/>
    <w:rsid w:val="00D9776F"/>
    <w:rsid w:val="00D97F30"/>
    <w:rsid w:val="00DB54EA"/>
    <w:rsid w:val="00DD13F5"/>
    <w:rsid w:val="00DD16E1"/>
    <w:rsid w:val="00DD30F7"/>
    <w:rsid w:val="00DE26AA"/>
    <w:rsid w:val="00DE65C7"/>
    <w:rsid w:val="00E06B50"/>
    <w:rsid w:val="00E260EB"/>
    <w:rsid w:val="00E32AA9"/>
    <w:rsid w:val="00E4275E"/>
    <w:rsid w:val="00E966D8"/>
    <w:rsid w:val="00EA5D6F"/>
    <w:rsid w:val="00EA63D2"/>
    <w:rsid w:val="00ED55DC"/>
    <w:rsid w:val="00EF3B85"/>
    <w:rsid w:val="00F07154"/>
    <w:rsid w:val="00F328B0"/>
    <w:rsid w:val="00F34ABC"/>
    <w:rsid w:val="00F41E1D"/>
    <w:rsid w:val="00F51032"/>
    <w:rsid w:val="00F652DD"/>
    <w:rsid w:val="00F93D2E"/>
    <w:rsid w:val="00FA1FBE"/>
    <w:rsid w:val="00FC0750"/>
    <w:rsid w:val="00FC4718"/>
    <w:rsid w:val="00FD100A"/>
    <w:rsid w:val="00FD69EA"/>
    <w:rsid w:val="00FE7070"/>
    <w:rsid w:val="00FF3A72"/>
    <w:rsid w:val="00FF7F21"/>
    <w:rsid w:val="028E02D9"/>
    <w:rsid w:val="02BD7CA0"/>
    <w:rsid w:val="033B50CF"/>
    <w:rsid w:val="0396075A"/>
    <w:rsid w:val="03C97118"/>
    <w:rsid w:val="03ED7F0E"/>
    <w:rsid w:val="044E74E5"/>
    <w:rsid w:val="04502784"/>
    <w:rsid w:val="0465519A"/>
    <w:rsid w:val="04883557"/>
    <w:rsid w:val="06334B96"/>
    <w:rsid w:val="07852DBD"/>
    <w:rsid w:val="08EE6E99"/>
    <w:rsid w:val="08FA3336"/>
    <w:rsid w:val="093066EE"/>
    <w:rsid w:val="093E08A7"/>
    <w:rsid w:val="09F14739"/>
    <w:rsid w:val="0A13787D"/>
    <w:rsid w:val="0A2C751F"/>
    <w:rsid w:val="0A544CC8"/>
    <w:rsid w:val="0A9C0D50"/>
    <w:rsid w:val="0B7E024F"/>
    <w:rsid w:val="0BCB720C"/>
    <w:rsid w:val="0BD52C35"/>
    <w:rsid w:val="0C37664F"/>
    <w:rsid w:val="0C3C645E"/>
    <w:rsid w:val="0C550884"/>
    <w:rsid w:val="0ED14B39"/>
    <w:rsid w:val="0F2138C1"/>
    <w:rsid w:val="1065381B"/>
    <w:rsid w:val="113B273E"/>
    <w:rsid w:val="117417AC"/>
    <w:rsid w:val="11B61DC5"/>
    <w:rsid w:val="11D54318"/>
    <w:rsid w:val="124C2D97"/>
    <w:rsid w:val="12B10F0A"/>
    <w:rsid w:val="12BB58E4"/>
    <w:rsid w:val="12BC53F2"/>
    <w:rsid w:val="134E179F"/>
    <w:rsid w:val="13FB266D"/>
    <w:rsid w:val="15325C06"/>
    <w:rsid w:val="15BC4EDD"/>
    <w:rsid w:val="16270D53"/>
    <w:rsid w:val="176B64B7"/>
    <w:rsid w:val="17CF1E32"/>
    <w:rsid w:val="17F56492"/>
    <w:rsid w:val="18080797"/>
    <w:rsid w:val="18541FF6"/>
    <w:rsid w:val="189A0E05"/>
    <w:rsid w:val="1910625E"/>
    <w:rsid w:val="19470720"/>
    <w:rsid w:val="1A3664FF"/>
    <w:rsid w:val="1AE14E38"/>
    <w:rsid w:val="1C307869"/>
    <w:rsid w:val="1C7A6810"/>
    <w:rsid w:val="1C87536A"/>
    <w:rsid w:val="1E4A446B"/>
    <w:rsid w:val="1E4D2F75"/>
    <w:rsid w:val="1F5A46D7"/>
    <w:rsid w:val="1F756719"/>
    <w:rsid w:val="1F921E72"/>
    <w:rsid w:val="1FC14756"/>
    <w:rsid w:val="206661A6"/>
    <w:rsid w:val="20895274"/>
    <w:rsid w:val="20CD5106"/>
    <w:rsid w:val="20CE2C87"/>
    <w:rsid w:val="216B5464"/>
    <w:rsid w:val="22592A24"/>
    <w:rsid w:val="22F17100"/>
    <w:rsid w:val="23052BAC"/>
    <w:rsid w:val="237D2742"/>
    <w:rsid w:val="23CD36CA"/>
    <w:rsid w:val="246838A5"/>
    <w:rsid w:val="24B93C4E"/>
    <w:rsid w:val="24E16D01"/>
    <w:rsid w:val="25EA30F9"/>
    <w:rsid w:val="26C50688"/>
    <w:rsid w:val="281F64BE"/>
    <w:rsid w:val="28AF1B3F"/>
    <w:rsid w:val="295B6FED"/>
    <w:rsid w:val="29AA4593"/>
    <w:rsid w:val="29CC7F7F"/>
    <w:rsid w:val="2A831ECF"/>
    <w:rsid w:val="2ADC5A66"/>
    <w:rsid w:val="2AE53E37"/>
    <w:rsid w:val="2C597D1A"/>
    <w:rsid w:val="2CD97D9B"/>
    <w:rsid w:val="2D0D38B7"/>
    <w:rsid w:val="2D80355B"/>
    <w:rsid w:val="2E450A7B"/>
    <w:rsid w:val="2E782484"/>
    <w:rsid w:val="2ECC6F5D"/>
    <w:rsid w:val="2F0F2854"/>
    <w:rsid w:val="2F394933"/>
    <w:rsid w:val="2F5F53F2"/>
    <w:rsid w:val="2FC4548E"/>
    <w:rsid w:val="30797C15"/>
    <w:rsid w:val="308275EA"/>
    <w:rsid w:val="30FD3064"/>
    <w:rsid w:val="32AB3B37"/>
    <w:rsid w:val="32CC5CE6"/>
    <w:rsid w:val="336010C7"/>
    <w:rsid w:val="33777574"/>
    <w:rsid w:val="33D03F11"/>
    <w:rsid w:val="33E365F1"/>
    <w:rsid w:val="33EF4785"/>
    <w:rsid w:val="343230D5"/>
    <w:rsid w:val="34420173"/>
    <w:rsid w:val="34DA1486"/>
    <w:rsid w:val="35700359"/>
    <w:rsid w:val="36945B6D"/>
    <w:rsid w:val="37230CDD"/>
    <w:rsid w:val="373D2F9B"/>
    <w:rsid w:val="376F6164"/>
    <w:rsid w:val="378E5780"/>
    <w:rsid w:val="3A40479E"/>
    <w:rsid w:val="3A824DB6"/>
    <w:rsid w:val="3AC21656"/>
    <w:rsid w:val="3B751B77"/>
    <w:rsid w:val="3C451CCE"/>
    <w:rsid w:val="3C634F3B"/>
    <w:rsid w:val="3D1C2700"/>
    <w:rsid w:val="3D682A74"/>
    <w:rsid w:val="3D712EC0"/>
    <w:rsid w:val="3DBD9E4E"/>
    <w:rsid w:val="3E725142"/>
    <w:rsid w:val="3FA72E90"/>
    <w:rsid w:val="3FB103B9"/>
    <w:rsid w:val="3FCE0156"/>
    <w:rsid w:val="404B6A21"/>
    <w:rsid w:val="408504E1"/>
    <w:rsid w:val="41807B75"/>
    <w:rsid w:val="4234249A"/>
    <w:rsid w:val="43196087"/>
    <w:rsid w:val="43880F63"/>
    <w:rsid w:val="44177434"/>
    <w:rsid w:val="445C6678"/>
    <w:rsid w:val="446C43E1"/>
    <w:rsid w:val="44A14E43"/>
    <w:rsid w:val="44B30262"/>
    <w:rsid w:val="451261D7"/>
    <w:rsid w:val="459F48C9"/>
    <w:rsid w:val="462A56D0"/>
    <w:rsid w:val="46663A77"/>
    <w:rsid w:val="466C6651"/>
    <w:rsid w:val="47CF7161"/>
    <w:rsid w:val="489F59EF"/>
    <w:rsid w:val="49014546"/>
    <w:rsid w:val="49EE6966"/>
    <w:rsid w:val="4A484FA8"/>
    <w:rsid w:val="4B4D185C"/>
    <w:rsid w:val="4B6F6C84"/>
    <w:rsid w:val="4C3843DE"/>
    <w:rsid w:val="4C87625C"/>
    <w:rsid w:val="4D2B4E39"/>
    <w:rsid w:val="4D371A30"/>
    <w:rsid w:val="4D9C5D37"/>
    <w:rsid w:val="4DAD1CF2"/>
    <w:rsid w:val="4E155DBA"/>
    <w:rsid w:val="4E197388"/>
    <w:rsid w:val="4EAC05F9"/>
    <w:rsid w:val="505C17AE"/>
    <w:rsid w:val="51695F30"/>
    <w:rsid w:val="51C504A8"/>
    <w:rsid w:val="52481FEA"/>
    <w:rsid w:val="52711AC4"/>
    <w:rsid w:val="53114AD1"/>
    <w:rsid w:val="54354CE5"/>
    <w:rsid w:val="54436F0C"/>
    <w:rsid w:val="54AE51AA"/>
    <w:rsid w:val="54DC110F"/>
    <w:rsid w:val="56723AD9"/>
    <w:rsid w:val="56794E67"/>
    <w:rsid w:val="571E7928"/>
    <w:rsid w:val="57250B4B"/>
    <w:rsid w:val="573C7C43"/>
    <w:rsid w:val="57F03A6B"/>
    <w:rsid w:val="58312F5B"/>
    <w:rsid w:val="589A46D0"/>
    <w:rsid w:val="58F702C5"/>
    <w:rsid w:val="59E7658C"/>
    <w:rsid w:val="5A1B4488"/>
    <w:rsid w:val="5A501242"/>
    <w:rsid w:val="5A5D2E14"/>
    <w:rsid w:val="5AB970BF"/>
    <w:rsid w:val="5CA42512"/>
    <w:rsid w:val="5CB00EB7"/>
    <w:rsid w:val="5DB04EE7"/>
    <w:rsid w:val="5E640DD4"/>
    <w:rsid w:val="5E8F4829"/>
    <w:rsid w:val="5EA306D2"/>
    <w:rsid w:val="5F4F39F8"/>
    <w:rsid w:val="5F677827"/>
    <w:rsid w:val="5FC058B5"/>
    <w:rsid w:val="60483AFC"/>
    <w:rsid w:val="61474AD9"/>
    <w:rsid w:val="620F608F"/>
    <w:rsid w:val="64C8078E"/>
    <w:rsid w:val="652507F9"/>
    <w:rsid w:val="65DD0843"/>
    <w:rsid w:val="666F7D4A"/>
    <w:rsid w:val="67CE0D8B"/>
    <w:rsid w:val="67F70082"/>
    <w:rsid w:val="680B6E70"/>
    <w:rsid w:val="680C1E5E"/>
    <w:rsid w:val="6811012F"/>
    <w:rsid w:val="685802EC"/>
    <w:rsid w:val="68673265"/>
    <w:rsid w:val="688F59F4"/>
    <w:rsid w:val="68996CA3"/>
    <w:rsid w:val="689E42BA"/>
    <w:rsid w:val="68F05128"/>
    <w:rsid w:val="69C62E3B"/>
    <w:rsid w:val="69FB573C"/>
    <w:rsid w:val="6A321963"/>
    <w:rsid w:val="6AF9611F"/>
    <w:rsid w:val="6AF97ECD"/>
    <w:rsid w:val="6AFE7CBB"/>
    <w:rsid w:val="6BE846BF"/>
    <w:rsid w:val="6CA02C98"/>
    <w:rsid w:val="6CB53614"/>
    <w:rsid w:val="6CED5D11"/>
    <w:rsid w:val="6E4E32F8"/>
    <w:rsid w:val="6F01059C"/>
    <w:rsid w:val="6F7BD96B"/>
    <w:rsid w:val="6F9428DE"/>
    <w:rsid w:val="716562BC"/>
    <w:rsid w:val="718C28F0"/>
    <w:rsid w:val="71C45BF7"/>
    <w:rsid w:val="71CC3F1C"/>
    <w:rsid w:val="71EF3DD8"/>
    <w:rsid w:val="725B76BF"/>
    <w:rsid w:val="72EC6569"/>
    <w:rsid w:val="74457D84"/>
    <w:rsid w:val="74BD01BD"/>
    <w:rsid w:val="74BD424F"/>
    <w:rsid w:val="761769E9"/>
    <w:rsid w:val="76D37824"/>
    <w:rsid w:val="786A065C"/>
    <w:rsid w:val="7A0F6CE0"/>
    <w:rsid w:val="7A3A5E0C"/>
    <w:rsid w:val="7AD85D51"/>
    <w:rsid w:val="7AD93877"/>
    <w:rsid w:val="7B4E1B6F"/>
    <w:rsid w:val="7BD21935"/>
    <w:rsid w:val="7C4222CD"/>
    <w:rsid w:val="7C8959EA"/>
    <w:rsid w:val="7CEE5DEB"/>
    <w:rsid w:val="7D056BA5"/>
    <w:rsid w:val="7DA31D95"/>
    <w:rsid w:val="7DBC2663"/>
    <w:rsid w:val="7DBDBF5C"/>
    <w:rsid w:val="7DFF0658"/>
    <w:rsid w:val="7E9052F2"/>
    <w:rsid w:val="7EB70F64"/>
    <w:rsid w:val="7EB97C47"/>
    <w:rsid w:val="7ED70BBB"/>
    <w:rsid w:val="7F717283"/>
    <w:rsid w:val="7FFF4755"/>
    <w:rsid w:val="9EFDB096"/>
    <w:rsid w:val="BEEBE931"/>
    <w:rsid w:val="DFF72995"/>
    <w:rsid w:val="F5FE4E9C"/>
    <w:rsid w:val="FAE7933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link w:val="24"/>
    <w:semiHidden/>
    <w:unhideWhenUsed/>
    <w:qFormat/>
    <w:uiPriority w:val="99"/>
    <w:pPr>
      <w:jc w:val="left"/>
    </w:pPr>
  </w:style>
  <w:style w:type="paragraph" w:styleId="4">
    <w:name w:val="Body Text 3"/>
    <w:basedOn w:val="1"/>
    <w:qFormat/>
    <w:uiPriority w:val="0"/>
    <w:rPr>
      <w:rFonts w:ascii="宋体" w:hAnsi="Calibri"/>
      <w:sz w:val="24"/>
      <w:szCs w:val="20"/>
    </w:rPr>
  </w:style>
  <w:style w:type="paragraph" w:styleId="5">
    <w:name w:val="Body Text"/>
    <w:basedOn w:val="1"/>
    <w:qFormat/>
    <w:uiPriority w:val="1"/>
    <w:pPr>
      <w:autoSpaceDE w:val="0"/>
      <w:autoSpaceDN w:val="0"/>
      <w:adjustRightInd w:val="0"/>
      <w:ind w:left="108"/>
      <w:jc w:val="left"/>
    </w:pPr>
    <w:rPr>
      <w:rFonts w:ascii="仿宋" w:eastAsia="仿宋" w:cs="仿宋"/>
      <w:kern w:val="0"/>
      <w:sz w:val="32"/>
      <w:szCs w:val="32"/>
    </w:rPr>
  </w:style>
  <w:style w:type="paragraph" w:styleId="6">
    <w:name w:val="Body Text Indent"/>
    <w:basedOn w:val="1"/>
    <w:semiHidden/>
    <w:unhideWhenUsed/>
    <w:qFormat/>
    <w:uiPriority w:val="99"/>
    <w:pPr>
      <w:spacing w:after="120"/>
      <w:ind w:left="420" w:leftChars="200"/>
    </w:pPr>
  </w:style>
  <w:style w:type="paragraph" w:styleId="7">
    <w:name w:val="Plain Text"/>
    <w:basedOn w:val="1"/>
    <w:qFormat/>
    <w:uiPriority w:val="0"/>
    <w:rPr>
      <w:rFonts w:ascii="Courier New" w:hAnsi="Courier New"/>
    </w:rPr>
  </w:style>
  <w:style w:type="paragraph" w:styleId="8">
    <w:name w:val="Balloon Text"/>
    <w:basedOn w:val="1"/>
    <w:link w:val="22"/>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Body Text Indent 3"/>
    <w:basedOn w:val="1"/>
    <w:semiHidden/>
    <w:unhideWhenUsed/>
    <w:qFormat/>
    <w:uiPriority w:val="99"/>
    <w:pPr>
      <w:spacing w:after="120"/>
      <w:ind w:left="420" w:leftChars="200"/>
    </w:pPr>
    <w:rPr>
      <w:sz w:val="16"/>
      <w:szCs w:val="16"/>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annotation subject"/>
    <w:basedOn w:val="3"/>
    <w:next w:val="3"/>
    <w:link w:val="25"/>
    <w:semiHidden/>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0"/>
    <w:rPr>
      <w:color w:val="0000FF"/>
      <w:u w:val="none"/>
    </w:rPr>
  </w:style>
  <w:style w:type="character" w:styleId="18">
    <w:name w:val="annotation reference"/>
    <w:basedOn w:val="16"/>
    <w:semiHidden/>
    <w:unhideWhenUsed/>
    <w:qFormat/>
    <w:uiPriority w:val="99"/>
    <w:rPr>
      <w:sz w:val="21"/>
      <w:szCs w:val="21"/>
    </w:rPr>
  </w:style>
  <w:style w:type="paragraph" w:customStyle="1" w:styleId="19">
    <w:name w:val="Default"/>
    <w:qFormat/>
    <w:uiPriority w:val="0"/>
    <w:pPr>
      <w:widowControl w:val="0"/>
      <w:autoSpaceDE w:val="0"/>
      <w:autoSpaceDN w:val="0"/>
      <w:adjustRightInd w:val="0"/>
      <w:spacing w:line="192" w:lineRule="auto"/>
    </w:pPr>
    <w:rPr>
      <w:rFonts w:ascii="Times New Roman" w:hAnsi="Times New Roman" w:eastAsia="宋体" w:cs="Times New Roman"/>
      <w:color w:val="000000"/>
      <w:sz w:val="24"/>
      <w:szCs w:val="24"/>
      <w:lang w:val="en-US" w:eastAsia="zh-CN" w:bidi="ar-SA"/>
    </w:rPr>
  </w:style>
  <w:style w:type="character" w:customStyle="1" w:styleId="20">
    <w:name w:val="页眉 字符"/>
    <w:basedOn w:val="16"/>
    <w:link w:val="10"/>
    <w:qFormat/>
    <w:uiPriority w:val="99"/>
    <w:rPr>
      <w:sz w:val="18"/>
      <w:szCs w:val="18"/>
    </w:rPr>
  </w:style>
  <w:style w:type="character" w:customStyle="1" w:styleId="21">
    <w:name w:val="页脚 字符"/>
    <w:basedOn w:val="16"/>
    <w:link w:val="9"/>
    <w:qFormat/>
    <w:uiPriority w:val="99"/>
    <w:rPr>
      <w:sz w:val="18"/>
      <w:szCs w:val="18"/>
    </w:rPr>
  </w:style>
  <w:style w:type="character" w:customStyle="1" w:styleId="22">
    <w:name w:val="批注框文本 字符"/>
    <w:basedOn w:val="16"/>
    <w:link w:val="8"/>
    <w:semiHidden/>
    <w:qFormat/>
    <w:uiPriority w:val="99"/>
    <w:rPr>
      <w:rFonts w:ascii="Times New Roman" w:hAnsi="Times New Roman" w:eastAsia="宋体" w:cs="Times New Roman"/>
      <w:kern w:val="2"/>
      <w:sz w:val="18"/>
      <w:szCs w:val="18"/>
    </w:rPr>
  </w:style>
  <w:style w:type="paragraph" w:customStyle="1" w:styleId="23">
    <w:name w:val="列表段落1"/>
    <w:basedOn w:val="1"/>
    <w:qFormat/>
    <w:uiPriority w:val="34"/>
    <w:pPr>
      <w:ind w:firstLine="420" w:firstLineChars="200"/>
    </w:pPr>
  </w:style>
  <w:style w:type="character" w:customStyle="1" w:styleId="24">
    <w:name w:val="批注文字 字符"/>
    <w:basedOn w:val="16"/>
    <w:link w:val="3"/>
    <w:semiHidden/>
    <w:qFormat/>
    <w:uiPriority w:val="99"/>
    <w:rPr>
      <w:kern w:val="2"/>
      <w:sz w:val="21"/>
      <w:szCs w:val="24"/>
    </w:rPr>
  </w:style>
  <w:style w:type="character" w:customStyle="1" w:styleId="25">
    <w:name w:val="批注主题 字符"/>
    <w:basedOn w:val="24"/>
    <w:link w:val="13"/>
    <w:semiHidden/>
    <w:qFormat/>
    <w:uiPriority w:val="99"/>
    <w:rPr>
      <w:b/>
      <w:bCs/>
      <w:kern w:val="2"/>
      <w:sz w:val="21"/>
      <w:szCs w:val="24"/>
    </w:rPr>
  </w:style>
  <w:style w:type="paragraph" w:customStyle="1" w:styleId="26">
    <w:name w:val="修订1"/>
    <w:hidden/>
    <w:semiHidden/>
    <w:qFormat/>
    <w:uiPriority w:val="99"/>
    <w:rPr>
      <w:rFonts w:ascii="Times New Roman" w:hAnsi="Times New Roman" w:eastAsia="宋体" w:cs="Times New Roman"/>
      <w:kern w:val="2"/>
      <w:sz w:val="21"/>
      <w:szCs w:val="24"/>
      <w:lang w:val="en-US" w:eastAsia="zh-CN" w:bidi="ar-SA"/>
    </w:rPr>
  </w:style>
  <w:style w:type="paragraph" w:styleId="27">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6366</Words>
  <Characters>6799</Characters>
  <Lines>54</Lines>
  <Paragraphs>15</Paragraphs>
  <TotalTime>12</TotalTime>
  <ScaleCrop>false</ScaleCrop>
  <LinksUpToDate>false</LinksUpToDate>
  <CharactersWithSpaces>7357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2018-03-23T10:08:00Z</dcterms:created>
  <dc:creator>0002219</dc:creator>
  <cp:lastModifiedBy>七七七七</cp:lastModifiedBy>
  <dcterms:modified xsi:type="dcterms:W3CDTF">2024-07-07T09:14:11Z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546B4B3EA7850758D8C3806391F335B3</vt:lpwstr>
  </property>
</Properties>
</file>