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B1D14">
      <w:pPr>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蒙牛乳业冰品马鞍山工厂前处理升级地勘项目</w:t>
      </w:r>
    </w:p>
    <w:p w14:paraId="1A5A1BB4">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询比价</w:t>
      </w:r>
      <w:r>
        <w:rPr>
          <w:rFonts w:hint="eastAsia" w:ascii="仿宋" w:hAnsi="仿宋" w:eastAsia="仿宋" w:cs="仿宋"/>
          <w:b/>
          <w:bCs/>
          <w:kern w:val="0"/>
          <w:sz w:val="30"/>
          <w:szCs w:val="30"/>
          <w:lang w:val="en-US" w:eastAsia="zh-CN"/>
        </w:rPr>
        <w:t>变更</w:t>
      </w:r>
      <w:bookmarkStart w:id="1" w:name="_GoBack"/>
      <w:bookmarkEnd w:id="1"/>
      <w:r>
        <w:rPr>
          <w:rFonts w:hint="eastAsia" w:ascii="仿宋" w:hAnsi="仿宋" w:eastAsia="仿宋" w:cs="仿宋"/>
          <w:b/>
          <w:bCs/>
          <w:kern w:val="0"/>
          <w:sz w:val="30"/>
          <w:szCs w:val="30"/>
        </w:rPr>
        <w:t>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内蒙古蒙牛乳业(集团)股份有限公司，现对蒙牛乳业焦作工厂污水厂调节池加固项目询比价招标，欢迎符合资格条件的投标人参加。</w:t>
      </w:r>
    </w:p>
    <w:p w14:paraId="5BE2B0E5">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r>
        <w:rPr>
          <w:rFonts w:hint="eastAsia" w:ascii="仿宋" w:hAnsi="仿宋" w:eastAsia="仿宋"/>
          <w:sz w:val="24"/>
          <w:lang w:val="en-US" w:eastAsia="zh-CN"/>
        </w:rPr>
        <w:t>MNCGJH-20240702-0019</w:t>
      </w:r>
    </w:p>
    <w:p w14:paraId="637C8621">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sz w:val="24"/>
          <w:lang w:val="en-US" w:eastAsia="zh-CN"/>
        </w:rPr>
        <w:t>蒙牛乳业冰品马鞍山工厂前处理升级地勘项目</w:t>
      </w:r>
    </w:p>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4C926B8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ind w:left="0" w:right="0" w:firstLine="480" w:firstLineChars="200"/>
        <w:jc w:val="both"/>
        <w:textAlignment w:val="auto"/>
        <w:rPr>
          <w:rFonts w:hint="eastAsia" w:ascii="仿宋" w:hAnsi="仿宋" w:eastAsia="仿宋"/>
          <w:sz w:val="24"/>
          <w:lang w:val="en-US" w:eastAsia="zh-CN"/>
        </w:rPr>
      </w:pPr>
      <w:r>
        <w:rPr>
          <w:rFonts w:hint="eastAsia" w:ascii="仿宋" w:hAnsi="仿宋" w:eastAsia="仿宋"/>
          <w:sz w:val="24"/>
          <w:lang w:val="en-US" w:eastAsia="zh-CN"/>
        </w:rPr>
        <w:t>马鞍山工厂针对前处理进行设备改造，老化区域更换大吨位老化罐，需要对原有地基进行承重勘测。勘测范围主要冰线、雪线老化区地沟涵道和岩土层，结构形式主要为钢结构，部分为钢筋混凝土框架结构，总建筑面积约为970平方米。</w:t>
      </w:r>
    </w:p>
    <w:p w14:paraId="0D14A234">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ind w:left="0" w:right="0" w:firstLine="480" w:firstLineChars="200"/>
        <w:jc w:val="both"/>
        <w:textAlignment w:val="auto"/>
        <w:rPr>
          <w:rFonts w:hint="eastAsia" w:ascii="仿宋" w:hAnsi="仿宋" w:eastAsia="仿宋"/>
          <w:sz w:val="24"/>
          <w:lang w:val="en-US" w:eastAsia="zh-CN"/>
        </w:rPr>
      </w:pPr>
      <w:r>
        <w:rPr>
          <w:rFonts w:hint="eastAsia" w:ascii="仿宋" w:hAnsi="仿宋" w:eastAsia="仿宋"/>
          <w:sz w:val="24"/>
          <w:lang w:val="en-US" w:eastAsia="zh-CN"/>
        </w:rPr>
        <w:t>成果要求：</w:t>
      </w:r>
    </w:p>
    <w:p w14:paraId="5FA59196">
      <w:pPr>
        <w:pStyle w:val="12"/>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ind w:left="0" w:right="0" w:firstLine="480" w:firstLineChars="200"/>
        <w:jc w:val="both"/>
        <w:textAlignment w:val="auto"/>
        <w:rPr>
          <w:rFonts w:hint="eastAsia" w:ascii="仿宋" w:hAnsi="仿宋" w:eastAsia="仿宋"/>
          <w:sz w:val="24"/>
          <w:lang w:val="en-US" w:eastAsia="zh-CN"/>
        </w:rPr>
      </w:pPr>
      <w:r>
        <w:rPr>
          <w:rFonts w:hint="eastAsia" w:ascii="仿宋" w:hAnsi="仿宋" w:eastAsia="仿宋"/>
          <w:sz w:val="24"/>
          <w:lang w:val="en-US" w:eastAsia="zh-CN"/>
        </w:rPr>
        <w:t>查明地基土的结构及均匀性以及其它类特征；</w:t>
      </w:r>
    </w:p>
    <w:p w14:paraId="1CDBBFFF">
      <w:pPr>
        <w:pStyle w:val="12"/>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ind w:left="0" w:right="0" w:firstLine="480" w:firstLineChars="200"/>
        <w:jc w:val="both"/>
        <w:textAlignment w:val="auto"/>
        <w:rPr>
          <w:rFonts w:hint="eastAsia" w:ascii="仿宋" w:hAnsi="仿宋" w:eastAsia="仿宋"/>
          <w:sz w:val="24"/>
          <w:lang w:val="en-US" w:eastAsia="zh-CN"/>
        </w:rPr>
      </w:pPr>
      <w:r>
        <w:rPr>
          <w:rFonts w:hint="eastAsia" w:ascii="仿宋" w:hAnsi="仿宋" w:eastAsia="仿宋"/>
          <w:sz w:val="24"/>
          <w:lang w:val="en-US" w:eastAsia="zh-CN"/>
        </w:rPr>
        <w:t>提供各土层主要物理力学性质指标及地基土的承载力特征值；</w:t>
      </w:r>
    </w:p>
    <w:p w14:paraId="04B80542">
      <w:pPr>
        <w:pStyle w:val="12"/>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ind w:left="0" w:right="0" w:firstLine="480" w:firstLineChars="200"/>
        <w:jc w:val="both"/>
        <w:textAlignment w:val="auto"/>
        <w:rPr>
          <w:rFonts w:hint="eastAsia" w:ascii="仿宋" w:hAnsi="仿宋" w:eastAsia="仿宋"/>
          <w:sz w:val="24"/>
          <w:lang w:val="en-US" w:eastAsia="zh-CN"/>
        </w:rPr>
      </w:pPr>
      <w:r>
        <w:rPr>
          <w:rFonts w:hint="eastAsia" w:ascii="仿宋" w:hAnsi="仿宋" w:eastAsia="仿宋"/>
          <w:sz w:val="24"/>
          <w:lang w:val="en-US" w:eastAsia="zh-CN"/>
        </w:rPr>
        <w:t>查明地下水的埋藏条件及地下水的季节变化幅度，评价地下水对建筑材料的腐蚀性</w:t>
      </w:r>
    </w:p>
    <w:p w14:paraId="24F03297">
      <w:pPr>
        <w:pStyle w:val="12"/>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ind w:left="0" w:right="0" w:firstLine="480" w:firstLineChars="200"/>
        <w:jc w:val="both"/>
        <w:textAlignment w:val="auto"/>
        <w:rPr>
          <w:rFonts w:hint="eastAsia" w:ascii="仿宋" w:hAnsi="仿宋" w:eastAsia="仿宋"/>
          <w:sz w:val="24"/>
          <w:lang w:val="en-US" w:eastAsia="zh-CN"/>
        </w:rPr>
      </w:pPr>
      <w:r>
        <w:rPr>
          <w:rFonts w:hint="eastAsia" w:ascii="仿宋" w:hAnsi="仿宋" w:eastAsia="仿宋"/>
          <w:sz w:val="24"/>
          <w:lang w:val="en-US" w:eastAsia="zh-CN"/>
        </w:rPr>
        <w:t>查明场地有无不良地质作用,评价其危害程度，并提出整治方案的建议；</w:t>
      </w:r>
    </w:p>
    <w:p w14:paraId="41EA8157">
      <w:pPr>
        <w:pStyle w:val="12"/>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ind w:left="0" w:right="0" w:firstLine="480" w:firstLineChars="200"/>
        <w:jc w:val="both"/>
        <w:textAlignment w:val="auto"/>
        <w:rPr>
          <w:rFonts w:hint="eastAsia" w:ascii="仿宋" w:hAnsi="仿宋" w:eastAsia="仿宋"/>
          <w:sz w:val="24"/>
          <w:lang w:val="en-US" w:eastAsia="zh-CN"/>
        </w:rPr>
      </w:pPr>
      <w:r>
        <w:rPr>
          <w:rFonts w:hint="eastAsia" w:ascii="仿宋" w:hAnsi="仿宋" w:eastAsia="仿宋"/>
          <w:sz w:val="24"/>
          <w:lang w:val="en-US" w:eastAsia="zh-CN"/>
        </w:rPr>
        <w:t>根据建筑物的结构特征，对可能采取的基础型式、地基处理方法及地基与基础工程施工等提出建议，如需采用桩基础，提供桩的类型及相应的设计参数，</w:t>
      </w:r>
      <w:r>
        <w:rPr>
          <w:rFonts w:hint="default" w:ascii="仿宋" w:hAnsi="仿宋" w:eastAsia="仿宋"/>
          <w:sz w:val="24"/>
          <w:lang w:val="en-US" w:eastAsia="zh-CN"/>
        </w:rPr>
        <w:t>提供建筑物的持力层及基础方案</w:t>
      </w:r>
      <w:r>
        <w:rPr>
          <w:rFonts w:hint="eastAsia" w:ascii="仿宋" w:hAnsi="仿宋" w:eastAsia="仿宋"/>
          <w:sz w:val="24"/>
          <w:lang w:val="en-US" w:eastAsia="zh-CN"/>
        </w:rPr>
        <w:t>；</w:t>
      </w:r>
    </w:p>
    <w:p w14:paraId="52E1AFFD">
      <w:pPr>
        <w:pStyle w:val="12"/>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12" w:beforeAutospacing="0" w:after="312" w:afterAutospacing="0"/>
        <w:ind w:left="0" w:right="0" w:firstLine="480" w:firstLineChars="200"/>
        <w:jc w:val="both"/>
        <w:textAlignment w:val="auto"/>
        <w:rPr>
          <w:rFonts w:hint="eastAsia" w:ascii="仿宋" w:hAnsi="仿宋" w:eastAsia="仿宋"/>
          <w:sz w:val="24"/>
          <w:lang w:val="en-US" w:eastAsia="zh-CN"/>
        </w:rPr>
      </w:pPr>
      <w:r>
        <w:rPr>
          <w:rFonts w:hint="eastAsia" w:ascii="仿宋" w:hAnsi="仿宋" w:eastAsia="仿宋"/>
          <w:sz w:val="24"/>
          <w:lang w:val="en-US" w:eastAsia="zh-CN"/>
        </w:rPr>
        <w:t xml:space="preserve">划分场地土类型及建筑场地类别，评价场地稳定性及地震效应。 </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3B45EF44">
      <w:pPr>
        <w:numPr>
          <w:ilvl w:val="0"/>
          <w:numId w:val="3"/>
        </w:numPr>
        <w:adjustRightInd w:val="0"/>
        <w:snapToGrid w:val="0"/>
        <w:spacing w:line="360" w:lineRule="auto"/>
        <w:ind w:left="425" w:leftChars="0" w:hanging="425" w:firstLineChars="0"/>
        <w:rPr>
          <w:rFonts w:hint="eastAsia" w:ascii="仿宋" w:hAnsi="仿宋" w:eastAsia="仿宋"/>
          <w:sz w:val="24"/>
          <w:lang w:val="en-US" w:eastAsia="zh-CN"/>
        </w:rPr>
      </w:pPr>
      <w:r>
        <w:rPr>
          <w:rFonts w:hint="eastAsia" w:ascii="仿宋" w:hAnsi="仿宋" w:eastAsia="仿宋"/>
          <w:sz w:val="24"/>
          <w:lang w:val="en-US" w:eastAsia="zh-CN"/>
        </w:rPr>
        <w:t>竞价方须在中华人民共和国境内注册并具有独立法人资格。以企业营业执照为准；且具有有效的开户行许可证；</w:t>
      </w:r>
    </w:p>
    <w:p w14:paraId="561672A0">
      <w:pPr>
        <w:numPr>
          <w:ilvl w:val="0"/>
          <w:numId w:val="3"/>
        </w:numPr>
        <w:adjustRightInd w:val="0"/>
        <w:snapToGrid w:val="0"/>
        <w:spacing w:line="360" w:lineRule="auto"/>
        <w:ind w:left="425" w:leftChars="0" w:hanging="425" w:firstLineChars="0"/>
        <w:rPr>
          <w:rFonts w:hint="eastAsia" w:ascii="仿宋" w:hAnsi="仿宋" w:eastAsia="仿宋"/>
          <w:sz w:val="24"/>
          <w:lang w:val="en-US" w:eastAsia="zh-CN"/>
        </w:rPr>
      </w:pPr>
      <w:r>
        <w:rPr>
          <w:rFonts w:hint="eastAsia" w:ascii="仿宋" w:hAnsi="仿宋" w:eastAsia="仿宋"/>
          <w:sz w:val="24"/>
          <w:lang w:val="en-US" w:eastAsia="zh-CN"/>
        </w:rPr>
        <w:t>竞价方须具有岩土勘察乙级及乙级以上资质；</w:t>
      </w:r>
    </w:p>
    <w:p w14:paraId="7E026C06">
      <w:pPr>
        <w:numPr>
          <w:ilvl w:val="0"/>
          <w:numId w:val="3"/>
        </w:numPr>
        <w:adjustRightInd w:val="0"/>
        <w:snapToGrid w:val="0"/>
        <w:spacing w:line="360" w:lineRule="auto"/>
        <w:ind w:left="42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价方</w:t>
      </w:r>
      <w:r>
        <w:rPr>
          <w:rFonts w:hint="default" w:ascii="仿宋" w:hAnsi="仿宋" w:eastAsia="仿宋"/>
          <w:sz w:val="24"/>
          <w:lang w:val="en-US" w:eastAsia="zh-CN"/>
        </w:rPr>
        <w:t>须具有</w:t>
      </w:r>
      <w:r>
        <w:rPr>
          <w:rFonts w:hint="eastAsia" w:ascii="仿宋" w:hAnsi="仿宋" w:eastAsia="仿宋"/>
          <w:sz w:val="24"/>
          <w:lang w:val="en-US" w:eastAsia="zh-CN"/>
        </w:rPr>
        <w:t>2022年1月1日-至今2个类似</w:t>
      </w:r>
      <w:r>
        <w:rPr>
          <w:rFonts w:hint="default" w:ascii="仿宋" w:hAnsi="仿宋" w:eastAsia="仿宋"/>
          <w:sz w:val="24"/>
          <w:lang w:val="en-US" w:eastAsia="zh-CN"/>
        </w:rPr>
        <w:t>业绩项目</w:t>
      </w:r>
      <w:r>
        <w:rPr>
          <w:rFonts w:hint="eastAsia" w:ascii="仿宋" w:hAnsi="仿宋" w:eastAsia="仿宋"/>
          <w:sz w:val="24"/>
          <w:lang w:val="en-US" w:eastAsia="zh-CN"/>
        </w:rPr>
        <w:t xml:space="preserve">（以合同及经建设单位确认的验收单为准）； </w:t>
      </w:r>
    </w:p>
    <w:p w14:paraId="23516427">
      <w:pPr>
        <w:numPr>
          <w:ilvl w:val="0"/>
          <w:numId w:val="3"/>
        </w:numPr>
        <w:adjustRightInd w:val="0"/>
        <w:snapToGrid w:val="0"/>
        <w:spacing w:line="360" w:lineRule="auto"/>
        <w:ind w:left="42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人须是一般纳税人</w:t>
      </w:r>
      <w:r>
        <w:rPr>
          <w:rFonts w:hint="eastAsia" w:ascii="仿宋" w:hAnsi="仿宋" w:eastAsia="仿宋"/>
          <w:sz w:val="24"/>
          <w:lang w:val="en-US" w:eastAsia="zh-CN"/>
        </w:rPr>
        <w:t>。</w:t>
      </w:r>
    </w:p>
    <w:p w14:paraId="12D1C250">
      <w:pPr>
        <w:numPr>
          <w:ilvl w:val="0"/>
          <w:numId w:val="3"/>
        </w:numPr>
        <w:adjustRightInd w:val="0"/>
        <w:snapToGrid w:val="0"/>
        <w:spacing w:line="360" w:lineRule="auto"/>
        <w:ind w:left="42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人须具有近1年任意3个月的依法纳税证明材料和社保缴纳证明材料；</w:t>
      </w:r>
    </w:p>
    <w:p w14:paraId="3F7CCDE9">
      <w:pPr>
        <w:numPr>
          <w:ilvl w:val="0"/>
          <w:numId w:val="3"/>
        </w:numPr>
        <w:adjustRightInd w:val="0"/>
        <w:snapToGrid w:val="0"/>
        <w:spacing w:line="360" w:lineRule="auto"/>
        <w:ind w:left="42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竞</w:t>
      </w:r>
      <w:r>
        <w:rPr>
          <w:rFonts w:hint="eastAsia" w:ascii="仿宋" w:hAnsi="仿宋" w:eastAsia="仿宋"/>
          <w:sz w:val="24"/>
          <w:lang w:val="en-US" w:eastAsia="zh-CN"/>
        </w:rPr>
        <w:t>价</w:t>
      </w:r>
      <w:r>
        <w:rPr>
          <w:rFonts w:hint="default" w:ascii="仿宋" w:hAnsi="仿宋" w:eastAsia="仿宋"/>
          <w:sz w:val="24"/>
          <w:lang w:val="en-US" w:eastAsia="zh-CN"/>
        </w:rPr>
        <w:t>人未被列入国家企业信用信息公示系统（http://www.gsxt.gov.cn/index.html）严重违法失信企业名单；</w:t>
      </w:r>
    </w:p>
    <w:p w14:paraId="02D9838A">
      <w:pPr>
        <w:numPr>
          <w:ilvl w:val="0"/>
          <w:numId w:val="3"/>
        </w:numPr>
        <w:adjustRightInd w:val="0"/>
        <w:snapToGrid w:val="0"/>
        <w:spacing w:line="360" w:lineRule="auto"/>
        <w:ind w:left="42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72FC7540">
      <w:pPr>
        <w:numPr>
          <w:ilvl w:val="0"/>
          <w:numId w:val="3"/>
        </w:numPr>
        <w:adjustRightInd w:val="0"/>
        <w:snapToGrid w:val="0"/>
        <w:spacing w:line="360" w:lineRule="auto"/>
        <w:ind w:left="42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本次竞谈不接受多家单位联合报价，不允许分包或转包；</w:t>
      </w:r>
    </w:p>
    <w:p w14:paraId="2C62CC26">
      <w:pPr>
        <w:numPr>
          <w:ilvl w:val="0"/>
          <w:numId w:val="3"/>
        </w:numPr>
        <w:adjustRightInd w:val="0"/>
        <w:snapToGrid w:val="0"/>
        <w:spacing w:line="360" w:lineRule="auto"/>
        <w:ind w:left="425" w:leftChars="0" w:hanging="425" w:firstLineChars="0"/>
        <w:rPr>
          <w:rFonts w:hint="eastAsia" w:ascii="仿宋" w:hAnsi="仿宋" w:eastAsia="仿宋"/>
          <w:sz w:val="24"/>
          <w:lang w:val="en-US" w:eastAsia="zh-CN"/>
        </w:rPr>
      </w:pPr>
      <w:r>
        <w:rPr>
          <w:rFonts w:hint="default" w:ascii="仿宋" w:hAnsi="仿宋" w:eastAsia="仿宋"/>
          <w:sz w:val="24"/>
          <w:lang w:val="en-US" w:eastAsia="zh-CN"/>
        </w:rPr>
        <w:t>不接受中粮及蒙牛供应商黑名单（以蒙牛集团采购招标管理部下发的黑名单为准）的企业参与竞争</w:t>
      </w:r>
    </w:p>
    <w:p w14:paraId="1AC7E192">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49DEAEC0">
      <w:pPr>
        <w:pStyle w:val="23"/>
        <w:numPr>
          <w:ilvl w:val="0"/>
          <w:numId w:val="4"/>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27D2E558">
      <w:pPr>
        <w:pStyle w:val="23"/>
        <w:numPr>
          <w:ilvl w:val="0"/>
          <w:numId w:val="4"/>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提供岩土勘察乙级及乙级以上资质证明资料。</w:t>
      </w:r>
    </w:p>
    <w:p w14:paraId="2591E8AD">
      <w:pPr>
        <w:pStyle w:val="23"/>
        <w:numPr>
          <w:ilvl w:val="0"/>
          <w:numId w:val="4"/>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提供2022年1月1日-至今类似项目至少两个并提供业绩资料（以合同及经建设单位确认的验收单为准）</w:t>
      </w:r>
    </w:p>
    <w:p w14:paraId="5280D08C">
      <w:pPr>
        <w:pStyle w:val="23"/>
        <w:numPr>
          <w:ilvl w:val="0"/>
          <w:numId w:val="4"/>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56896828">
      <w:pPr>
        <w:pStyle w:val="23"/>
        <w:numPr>
          <w:ilvl w:val="0"/>
          <w:numId w:val="4"/>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66039553">
      <w:pPr>
        <w:pStyle w:val="23"/>
        <w:numPr>
          <w:ilvl w:val="0"/>
          <w:numId w:val="4"/>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4"/>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4"/>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4"/>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06</w:t>
      </w:r>
      <w:r>
        <w:rPr>
          <w:rFonts w:hint="eastAsia" w:ascii="仿宋" w:hAnsi="仿宋" w:eastAsia="仿宋" w:cs="仿宋"/>
          <w:sz w:val="24"/>
        </w:rPr>
        <w:t>日</w:t>
      </w:r>
      <w:r>
        <w:rPr>
          <w:rFonts w:hint="eastAsia" w:ascii="仿宋" w:hAnsi="仿宋" w:eastAsia="仿宋" w:cs="仿宋"/>
          <w:sz w:val="24"/>
          <w:lang w:val="en-US" w:eastAsia="zh-CN"/>
        </w:rPr>
        <w:t>20时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0时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12</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13时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07</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w:t>
      </w:r>
      <w:r>
        <w:rPr>
          <w:rFonts w:hint="eastAsia" w:ascii="仿宋" w:hAnsi="仿宋" w:eastAsia="仿宋" w:cs="仿宋"/>
          <w:sz w:val="24"/>
          <w:lang w:val="en-US" w:eastAsia="zh-CN"/>
        </w:rPr>
        <w:t>14</w:t>
      </w:r>
      <w:r>
        <w:rPr>
          <w:rFonts w:hint="eastAsia" w:ascii="仿宋" w:hAnsi="仿宋" w:eastAsia="仿宋" w:cs="仿宋"/>
          <w:sz w:val="24"/>
        </w:rPr>
        <w:t>时（以发出的招标文件为准）；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27677884">
      <w:pPr>
        <w:pStyle w:val="23"/>
        <w:numPr>
          <w:ilvl w:val="0"/>
          <w:numId w:val="5"/>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.保密承诺书</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06</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0D3CEE08">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1A030E22">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7E9C220D">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D223D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60E9E8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749B4150">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B7CB9"/>
    <w:multiLevelType w:val="singleLevel"/>
    <w:tmpl w:val="922B7CB9"/>
    <w:lvl w:ilvl="0" w:tentative="0">
      <w:start w:val="1"/>
      <w:numFmt w:val="decimal"/>
      <w:suff w:val="nothing"/>
      <w:lvlText w:val="%1、"/>
      <w:lvlJc w:val="left"/>
    </w:lvl>
  </w:abstractNum>
  <w:abstractNum w:abstractNumId="1">
    <w:nsid w:val="B3417C07"/>
    <w:multiLevelType w:val="singleLevel"/>
    <w:tmpl w:val="B3417C07"/>
    <w:lvl w:ilvl="0" w:tentative="0">
      <w:start w:val="2"/>
      <w:numFmt w:val="decimal"/>
      <w:suff w:val="space"/>
      <w:lvlText w:val="%1."/>
      <w:lvlJc w:val="left"/>
    </w:lvl>
  </w:abstractNum>
  <w:abstractNum w:abstractNumId="2">
    <w:nsid w:val="0834E0E2"/>
    <w:multiLevelType w:val="singleLevel"/>
    <w:tmpl w:val="0834E0E2"/>
    <w:lvl w:ilvl="0" w:tentative="0">
      <w:start w:val="1"/>
      <w:numFmt w:val="decimal"/>
      <w:lvlText w:val="(%1)"/>
      <w:lvlJc w:val="left"/>
      <w:pPr>
        <w:ind w:left="425" w:hanging="425"/>
      </w:pPr>
      <w:rPr>
        <w:rFonts w:hint="default"/>
      </w:rPr>
    </w:lvl>
  </w:abstractNum>
  <w:abstractNum w:abstractNumId="3">
    <w:nsid w:val="0ACD784C"/>
    <w:multiLevelType w:val="singleLevel"/>
    <w:tmpl w:val="0ACD784C"/>
    <w:lvl w:ilvl="0" w:tentative="0">
      <w:start w:val="1"/>
      <w:numFmt w:val="decimal"/>
      <w:suff w:val="nothing"/>
      <w:lvlText w:val="（%1）"/>
      <w:lvlJc w:val="left"/>
    </w:lvl>
  </w:abstractNum>
  <w:abstractNum w:abstractNumId="4">
    <w:nsid w:val="0B437EF8"/>
    <w:multiLevelType w:val="singleLevel"/>
    <w:tmpl w:val="0B437EF8"/>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645F8"/>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2BD7CA0"/>
    <w:rsid w:val="033B50CF"/>
    <w:rsid w:val="03C97118"/>
    <w:rsid w:val="044E74E5"/>
    <w:rsid w:val="04502784"/>
    <w:rsid w:val="0465519A"/>
    <w:rsid w:val="04883557"/>
    <w:rsid w:val="062A4F87"/>
    <w:rsid w:val="06334B96"/>
    <w:rsid w:val="07852DBD"/>
    <w:rsid w:val="08EE6E99"/>
    <w:rsid w:val="08FA3336"/>
    <w:rsid w:val="093066EE"/>
    <w:rsid w:val="093E08A7"/>
    <w:rsid w:val="09F14739"/>
    <w:rsid w:val="0A13787D"/>
    <w:rsid w:val="0A2C751F"/>
    <w:rsid w:val="0A544CC8"/>
    <w:rsid w:val="0A9C0D50"/>
    <w:rsid w:val="0B7E024F"/>
    <w:rsid w:val="0BCB720C"/>
    <w:rsid w:val="0BD52C35"/>
    <w:rsid w:val="0C37664F"/>
    <w:rsid w:val="0C3C645E"/>
    <w:rsid w:val="0C550884"/>
    <w:rsid w:val="0ED14B39"/>
    <w:rsid w:val="0F2138C1"/>
    <w:rsid w:val="1065381B"/>
    <w:rsid w:val="113B273E"/>
    <w:rsid w:val="117417AC"/>
    <w:rsid w:val="11B61DC5"/>
    <w:rsid w:val="11D54318"/>
    <w:rsid w:val="124C2D97"/>
    <w:rsid w:val="12B10F0A"/>
    <w:rsid w:val="12BB58E4"/>
    <w:rsid w:val="12BC53F2"/>
    <w:rsid w:val="13FB266D"/>
    <w:rsid w:val="15325C06"/>
    <w:rsid w:val="15BC4EDD"/>
    <w:rsid w:val="16270D53"/>
    <w:rsid w:val="176B64B7"/>
    <w:rsid w:val="17CF1E32"/>
    <w:rsid w:val="17F56492"/>
    <w:rsid w:val="18080797"/>
    <w:rsid w:val="18541FF6"/>
    <w:rsid w:val="189A0E05"/>
    <w:rsid w:val="1910625E"/>
    <w:rsid w:val="19470720"/>
    <w:rsid w:val="1A3664FF"/>
    <w:rsid w:val="1AE14E38"/>
    <w:rsid w:val="1C307869"/>
    <w:rsid w:val="1C7A6810"/>
    <w:rsid w:val="1C87536A"/>
    <w:rsid w:val="1E4A446B"/>
    <w:rsid w:val="1E4D2F75"/>
    <w:rsid w:val="1F5A46D7"/>
    <w:rsid w:val="1F756719"/>
    <w:rsid w:val="1F921E72"/>
    <w:rsid w:val="1FAA246E"/>
    <w:rsid w:val="1FC14756"/>
    <w:rsid w:val="20895274"/>
    <w:rsid w:val="20CD5106"/>
    <w:rsid w:val="20CE2C87"/>
    <w:rsid w:val="216B5464"/>
    <w:rsid w:val="22592A24"/>
    <w:rsid w:val="22F17100"/>
    <w:rsid w:val="23052BAC"/>
    <w:rsid w:val="237D2742"/>
    <w:rsid w:val="23CD36CA"/>
    <w:rsid w:val="246838A5"/>
    <w:rsid w:val="24B93C4E"/>
    <w:rsid w:val="24E16D01"/>
    <w:rsid w:val="25EA30F9"/>
    <w:rsid w:val="26C50688"/>
    <w:rsid w:val="281F64BE"/>
    <w:rsid w:val="28AF1B3F"/>
    <w:rsid w:val="295B6FED"/>
    <w:rsid w:val="29AA4593"/>
    <w:rsid w:val="29CC7F7F"/>
    <w:rsid w:val="2A831ECF"/>
    <w:rsid w:val="2ADC5A66"/>
    <w:rsid w:val="2AE53E37"/>
    <w:rsid w:val="2C597D1A"/>
    <w:rsid w:val="2CD97D9B"/>
    <w:rsid w:val="2D084E84"/>
    <w:rsid w:val="2D0D38B7"/>
    <w:rsid w:val="2D80355B"/>
    <w:rsid w:val="2E450A7B"/>
    <w:rsid w:val="2E782484"/>
    <w:rsid w:val="2ECC6F5D"/>
    <w:rsid w:val="2F0F2854"/>
    <w:rsid w:val="2F234A27"/>
    <w:rsid w:val="2F394933"/>
    <w:rsid w:val="2F5F53F2"/>
    <w:rsid w:val="2FC4548E"/>
    <w:rsid w:val="30797C15"/>
    <w:rsid w:val="308275EA"/>
    <w:rsid w:val="30FD3064"/>
    <w:rsid w:val="32AB3B37"/>
    <w:rsid w:val="32CC5CE6"/>
    <w:rsid w:val="336010C7"/>
    <w:rsid w:val="33777574"/>
    <w:rsid w:val="33D03F11"/>
    <w:rsid w:val="33E365F1"/>
    <w:rsid w:val="33EF4785"/>
    <w:rsid w:val="343230D5"/>
    <w:rsid w:val="34420173"/>
    <w:rsid w:val="34DA1486"/>
    <w:rsid w:val="35700359"/>
    <w:rsid w:val="36945B6D"/>
    <w:rsid w:val="37230CDD"/>
    <w:rsid w:val="373D2F9B"/>
    <w:rsid w:val="376F6164"/>
    <w:rsid w:val="378E5780"/>
    <w:rsid w:val="3A40479E"/>
    <w:rsid w:val="3A824DB6"/>
    <w:rsid w:val="3AC21656"/>
    <w:rsid w:val="3B751B77"/>
    <w:rsid w:val="3C451CCE"/>
    <w:rsid w:val="3C634F3B"/>
    <w:rsid w:val="3D1C2700"/>
    <w:rsid w:val="3D682A74"/>
    <w:rsid w:val="3D712EC0"/>
    <w:rsid w:val="3DBD9E4E"/>
    <w:rsid w:val="3E725142"/>
    <w:rsid w:val="3FA72E90"/>
    <w:rsid w:val="3FB103B9"/>
    <w:rsid w:val="3FCE0156"/>
    <w:rsid w:val="404B6A21"/>
    <w:rsid w:val="408504E1"/>
    <w:rsid w:val="40D81299"/>
    <w:rsid w:val="41807B75"/>
    <w:rsid w:val="4234249A"/>
    <w:rsid w:val="43196087"/>
    <w:rsid w:val="43880F63"/>
    <w:rsid w:val="44177434"/>
    <w:rsid w:val="44303CEA"/>
    <w:rsid w:val="445C6678"/>
    <w:rsid w:val="446C43E1"/>
    <w:rsid w:val="44A14E43"/>
    <w:rsid w:val="44B30262"/>
    <w:rsid w:val="451261D7"/>
    <w:rsid w:val="459F48C9"/>
    <w:rsid w:val="462A56D0"/>
    <w:rsid w:val="46663A77"/>
    <w:rsid w:val="466C6651"/>
    <w:rsid w:val="47CF7161"/>
    <w:rsid w:val="489F59EF"/>
    <w:rsid w:val="49014546"/>
    <w:rsid w:val="49EE6966"/>
    <w:rsid w:val="4B4D185C"/>
    <w:rsid w:val="4B6F6C84"/>
    <w:rsid w:val="4C3843DE"/>
    <w:rsid w:val="4C87625C"/>
    <w:rsid w:val="4D2B4E39"/>
    <w:rsid w:val="4D371A30"/>
    <w:rsid w:val="4D9C5D37"/>
    <w:rsid w:val="4DAD1CF2"/>
    <w:rsid w:val="4E155DBA"/>
    <w:rsid w:val="4E197388"/>
    <w:rsid w:val="4EAC05F9"/>
    <w:rsid w:val="505C17AE"/>
    <w:rsid w:val="51695F30"/>
    <w:rsid w:val="51C504A8"/>
    <w:rsid w:val="52481FEA"/>
    <w:rsid w:val="52711AC4"/>
    <w:rsid w:val="53114AD1"/>
    <w:rsid w:val="53CC7B1E"/>
    <w:rsid w:val="54354CE5"/>
    <w:rsid w:val="54436F0C"/>
    <w:rsid w:val="54AE51AA"/>
    <w:rsid w:val="54DC110F"/>
    <w:rsid w:val="56723AD9"/>
    <w:rsid w:val="56794E67"/>
    <w:rsid w:val="571E7928"/>
    <w:rsid w:val="57250B4B"/>
    <w:rsid w:val="573C7C43"/>
    <w:rsid w:val="57F03A6B"/>
    <w:rsid w:val="58312F5B"/>
    <w:rsid w:val="586336D2"/>
    <w:rsid w:val="589A46D0"/>
    <w:rsid w:val="58F702C5"/>
    <w:rsid w:val="5905314A"/>
    <w:rsid w:val="59E7658C"/>
    <w:rsid w:val="5A1B4488"/>
    <w:rsid w:val="5A5D2E14"/>
    <w:rsid w:val="5AB970BF"/>
    <w:rsid w:val="5CB00EB7"/>
    <w:rsid w:val="5E640DD4"/>
    <w:rsid w:val="5E8F4829"/>
    <w:rsid w:val="5EA306D2"/>
    <w:rsid w:val="5F4F39F8"/>
    <w:rsid w:val="5F677827"/>
    <w:rsid w:val="5FC058B5"/>
    <w:rsid w:val="60483AFC"/>
    <w:rsid w:val="61474AD9"/>
    <w:rsid w:val="620F608F"/>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AFE7CBB"/>
    <w:rsid w:val="6BE846BF"/>
    <w:rsid w:val="6CA02C98"/>
    <w:rsid w:val="6CB53614"/>
    <w:rsid w:val="6CED5D11"/>
    <w:rsid w:val="6E4E32F8"/>
    <w:rsid w:val="6F01059C"/>
    <w:rsid w:val="6F7BD96B"/>
    <w:rsid w:val="6F9428DE"/>
    <w:rsid w:val="716562BC"/>
    <w:rsid w:val="718C28F0"/>
    <w:rsid w:val="71C45BF7"/>
    <w:rsid w:val="71CC3F1C"/>
    <w:rsid w:val="71CE3BCB"/>
    <w:rsid w:val="71EF3DD8"/>
    <w:rsid w:val="725B76BF"/>
    <w:rsid w:val="72EC6569"/>
    <w:rsid w:val="74457D84"/>
    <w:rsid w:val="74BD01BD"/>
    <w:rsid w:val="74BD424F"/>
    <w:rsid w:val="761769E9"/>
    <w:rsid w:val="76D37824"/>
    <w:rsid w:val="786A065C"/>
    <w:rsid w:val="7A0F6CE0"/>
    <w:rsid w:val="7AD85D51"/>
    <w:rsid w:val="7AD93877"/>
    <w:rsid w:val="7B4E1B6F"/>
    <w:rsid w:val="7BD21935"/>
    <w:rsid w:val="7C4222CD"/>
    <w:rsid w:val="7C8959EA"/>
    <w:rsid w:val="7CEE5DEB"/>
    <w:rsid w:val="7D056BA5"/>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5817</Words>
  <Characters>6191</Characters>
  <Lines>54</Lines>
  <Paragraphs>15</Paragraphs>
  <TotalTime>16</TotalTime>
  <ScaleCrop>false</ScaleCrop>
  <LinksUpToDate>false</LinksUpToDate>
  <CharactersWithSpaces>6746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2024-07-09T06:55:28Z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546B4B3EA7850758D8C3806391F335B3</vt:lpwstr>
  </property>
</Properties>
</file>