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C05BA">
      <w:pPr>
        <w:widowControl/>
        <w:shd w:val="clear" w:color="auto" w:fill="FFFFFF"/>
        <w:snapToGrid w:val="0"/>
        <w:spacing w:line="360" w:lineRule="auto"/>
        <w:jc w:val="center"/>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蒙牛乳业常温宿迁新建项目立体库辅助装车设备采购</w:t>
      </w:r>
    </w:p>
    <w:p w14:paraId="3CE4A1CD">
      <w:pPr>
        <w:widowControl/>
        <w:shd w:val="clear" w:color="auto" w:fill="FFFFFF"/>
        <w:snapToGrid w:val="0"/>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val="en-US" w:eastAsia="zh-CN"/>
        </w:rPr>
        <w:t>蒙牛乳业常温宿迁新建项目立体库辅助装车设备采购</w:t>
      </w:r>
      <w:r>
        <w:rPr>
          <w:rFonts w:hint="eastAsia" w:ascii="仿宋" w:hAnsi="仿宋" w:eastAsia="仿宋" w:cs="仿宋"/>
          <w:sz w:val="24"/>
        </w:rPr>
        <w:t>进行竞争性谈判, 欢迎符合资格条件的竞谈人参加。</w:t>
      </w:r>
    </w:p>
    <w:p w14:paraId="3E269547">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一、项目编号：MNCGJH-20240731-0006</w:t>
      </w:r>
    </w:p>
    <w:p w14:paraId="4D3F9AF9">
      <w:pPr>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val="en-US" w:eastAsia="zh-CN"/>
        </w:rPr>
        <w:t>蒙牛乳业常温宿迁新建项目立体库辅助装车设备采购</w:t>
      </w:r>
    </w:p>
    <w:p w14:paraId="49EAC131">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03381BD7">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蒙牛宿迁二期工厂为满足调拨入库装卸效率与要求，规划成品库库外辅助装卸车系统,本次招标范围：半自动辅助装卸车设备（包含伸缩皮带机、剔除系统等）、扫码视觉系统、托盘输送系统、自动拆码垛机器人、对接仓库管理系统（WMS）、一物一码管理平台（MID）、AGV调度系统，及以上设备的电气、网络、自控、系统等，所有设备自动化控制、信号交互，自动联动；</w:t>
      </w:r>
    </w:p>
    <w:p w14:paraId="16C53A42">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2、蒙牛乳业宿迁新建工厂，为了满足生产需求，现需新增设备，本次招标包括整体设计、设备制造、运输、现场安装、调试、保险、税金、售后服务等内容，即交钥匙工程。</w:t>
      </w:r>
    </w:p>
    <w:p w14:paraId="02AA0A0D">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（1）竞谈人必须是在中华人民共和国境内注册的具有独立法人资格的企事业单位</w:t>
      </w:r>
      <w:r>
        <w:rPr>
          <w:rFonts w:hint="eastAsia" w:ascii="仿宋" w:hAnsi="仿宋" w:eastAsia="仿宋" w:cs="仿宋"/>
          <w:sz w:val="24"/>
          <w:lang w:eastAsia="zh-CN"/>
        </w:rPr>
        <w:t>，公司注册资金在</w:t>
      </w:r>
      <w:r>
        <w:rPr>
          <w:rFonts w:hint="eastAsia" w:ascii="仿宋" w:hAnsi="仿宋" w:eastAsia="仿宋" w:cs="仿宋"/>
          <w:sz w:val="24"/>
          <w:lang w:val="en-US" w:eastAsia="zh-CN"/>
        </w:rPr>
        <w:t>500</w:t>
      </w:r>
      <w:r>
        <w:rPr>
          <w:rFonts w:hint="eastAsia" w:ascii="仿宋" w:hAnsi="仿宋" w:eastAsia="仿宋" w:cs="仿宋"/>
          <w:sz w:val="24"/>
          <w:lang w:eastAsia="zh-CN"/>
        </w:rPr>
        <w:t>万元人民币及以上（外币按注册时汇率计算）</w:t>
      </w:r>
      <w:r>
        <w:rPr>
          <w:rFonts w:hint="eastAsia" w:ascii="仿宋" w:hAnsi="仿宋" w:eastAsia="仿宋" w:cs="仿宋"/>
          <w:sz w:val="24"/>
        </w:rPr>
        <w:t>；</w:t>
      </w:r>
    </w:p>
    <w:p w14:paraId="24F04028">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（2）竞谈人须具有一般纳税人资格，企业最近1年任意3个月的依法纳税证明材料和社保缴纳证明；</w:t>
      </w:r>
    </w:p>
    <w:p w14:paraId="6515885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（3）竞谈人授权委托人须为本企业在职人员；</w:t>
      </w:r>
    </w:p>
    <w:p w14:paraId="4D165DEF">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竞谈人须为具有设备生产、安装和调试能力（以上三项需同时具备，提供承诺函）的设备厂商或授权代理商，若是授权代理商，需取得所投货物生产制造商出具的书面授权书，采购单位只接受生产厂家唯一项目授权书；</w:t>
      </w:r>
    </w:p>
    <w:p w14:paraId="5EA48E72">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（5）竞谈人须具有2021年1月1日至今至少两份类似项目业绩（以合同为准）；</w:t>
      </w:r>
    </w:p>
    <w:p w14:paraId="2352A8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（6）竞谈人须具有2021至2023年第三方财务审计报告；</w:t>
      </w:r>
    </w:p>
    <w:p w14:paraId="256587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（7）竞谈人未被列入国家企业信用信息公示系统（http://www.gsxt.gov.cn/index.html）严重违法失信企业名单；</w:t>
      </w:r>
    </w:p>
    <w:p w14:paraId="79AAA9E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（8）竞谈人在“中华人民共和国应急管理部（https://www.mem.gov.cn/）”近一年内无公开曝光的安全事件；</w:t>
      </w:r>
    </w:p>
    <w:p w14:paraId="73B1290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（9）竞谈人严格执行国家有关安全生产的各项法律法规及行业管理条例，认真贯彻落实各项安全生产管理制度，近一年内，无安全生产失信行为和无被安全监督部门公开曝光的事件。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3C32A60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（11）本项目不接受联合体投标，不允许分包或转包。</w:t>
      </w:r>
    </w:p>
    <w:p w14:paraId="42209BC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（12）不接受中粮及蒙牛供应商黑名单（以蒙牛集团采购招标管理部下发的黑名单为准）的企业参与竞争；</w:t>
      </w:r>
    </w:p>
    <w:p w14:paraId="063C1C85">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（13）竞谈人须执行蒙牛集团《承包商安全管理制度》管理要求。</w:t>
      </w:r>
    </w:p>
    <w:p w14:paraId="4DC9EF49">
      <w:pPr>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440077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本企业具有</w:t>
      </w:r>
      <w:r>
        <w:rPr>
          <w:rFonts w:hint="eastAsia" w:ascii="仿宋" w:hAnsi="仿宋" w:eastAsia="仿宋" w:cs="仿宋"/>
          <w:sz w:val="24"/>
        </w:rPr>
        <w:t>设备生产、安装和调试能力</w:t>
      </w:r>
      <w:r>
        <w:rPr>
          <w:rFonts w:hint="eastAsia" w:ascii="仿宋" w:hAnsi="仿宋" w:eastAsia="仿宋" w:cs="仿宋"/>
          <w:sz w:val="24"/>
          <w:lang w:val="en-US" w:eastAsia="zh-CN"/>
        </w:rPr>
        <w:t>的</w:t>
      </w:r>
      <w:r>
        <w:rPr>
          <w:rFonts w:hint="eastAsia" w:ascii="仿宋" w:hAnsi="仿宋" w:eastAsia="仿宋" w:cs="仿宋"/>
          <w:sz w:val="24"/>
        </w:rPr>
        <w:t>提供承诺函，若是授权代理商，需</w:t>
      </w:r>
      <w:r>
        <w:rPr>
          <w:rFonts w:hint="eastAsia" w:ascii="仿宋" w:hAnsi="仿宋" w:eastAsia="仿宋" w:cs="仿宋"/>
          <w:sz w:val="24"/>
          <w:lang w:val="en-US" w:eastAsia="zh-CN"/>
        </w:rPr>
        <w:t>提供</w:t>
      </w:r>
      <w:r>
        <w:rPr>
          <w:rFonts w:hint="eastAsia" w:ascii="仿宋" w:hAnsi="仿宋" w:eastAsia="仿宋" w:cs="仿宋"/>
          <w:sz w:val="24"/>
        </w:rPr>
        <w:t>所投货物生产制造商出具的书面授权书，采购单位只接受生产厂家唯一项目授权书证明材料；</w:t>
      </w:r>
    </w:p>
    <w:p w14:paraId="4EB91871">
      <w:pPr>
        <w:spacing w:line="360" w:lineRule="auto"/>
        <w:ind w:firstLine="480" w:firstLineChars="200"/>
        <w:rPr>
          <w:rFonts w:ascii="仿宋" w:hAnsi="仿宋" w:eastAsia="仿宋" w:cs="仿宋"/>
          <w:sz w:val="24"/>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近三年（2021至2023年）经过第三方专业审计机构出具的财务审计报告；</w:t>
      </w:r>
    </w:p>
    <w:p w14:paraId="27B3DE21">
      <w:pPr>
        <w:spacing w:line="360" w:lineRule="auto"/>
        <w:ind w:firstLine="480" w:firstLineChars="200"/>
        <w:rPr>
          <w:rFonts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p>
    <w:p w14:paraId="4CA57773">
      <w:pPr>
        <w:wordWrap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“中华人民共和国应急管理部（https://www.mem.gov.cn/）”近一年内无公开曝光的安全事件证明材料；</w:t>
      </w:r>
    </w:p>
    <w:p w14:paraId="7AD54625">
      <w:pPr>
        <w:wordWrap w:val="0"/>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01A18A1A">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ascii="仿宋" w:hAnsi="仿宋" w:eastAsia="仿宋" w:cs="仿宋"/>
          <w:sz w:val="24"/>
        </w:rPr>
      </w:pPr>
      <w:r>
        <w:rPr>
          <w:rFonts w:hint="eastAsia" w:ascii="仿宋" w:hAnsi="仿宋" w:eastAsia="仿宋" w:cs="仿宋"/>
          <w:sz w:val="24"/>
        </w:rPr>
        <w:t>竞谈人自购买谈判文件之日起，应确保其向采购人或招标代理机构提供的通讯手段（电话、邮箱）一直有效，以保证往来函件能及时传达并及时反馈信息，否则由此引起的一切后果由竞谈人承担。</w:t>
      </w:r>
    </w:p>
    <w:p w14:paraId="002B1B98">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14:paraId="30B65E29">
      <w:pPr>
        <w:spacing w:line="360" w:lineRule="auto"/>
        <w:ind w:firstLine="480" w:firstLineChars="200"/>
        <w:rPr>
          <w:rFonts w:ascii="仿宋" w:hAnsi="仿宋" w:eastAsia="仿宋" w:cs="仿宋"/>
          <w:sz w:val="24"/>
        </w:rPr>
      </w:pPr>
      <w:r>
        <w:rPr>
          <w:rFonts w:hint="eastAsia" w:ascii="仿宋" w:hAnsi="仿宋" w:eastAsia="仿宋" w:cs="仿宋"/>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67D42724">
      <w:pPr>
        <w:spacing w:line="360" w:lineRule="auto"/>
        <w:ind w:firstLine="480" w:firstLineChars="200"/>
        <w:rPr>
          <w:rFonts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0D9909">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2024年8月4日10时至8月8日24时</w:t>
      </w:r>
      <w:r>
        <w:rPr>
          <w:rFonts w:hint="eastAsia" w:ascii="仿宋" w:hAnsi="仿宋" w:eastAsia="仿宋" w:cs="仿宋"/>
          <w:sz w:val="24"/>
        </w:rPr>
        <w:t>；</w:t>
      </w:r>
    </w:p>
    <w:p w14:paraId="7B71F7D9">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时至2024年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日17时；</w:t>
      </w:r>
    </w:p>
    <w:p w14:paraId="6CE52D0D">
      <w:pPr>
        <w:spacing w:line="360" w:lineRule="auto"/>
        <w:ind w:firstLine="480" w:firstLineChars="200"/>
        <w:rPr>
          <w:rFonts w:ascii="仿宋" w:hAnsi="仿宋" w:eastAsia="仿宋" w:cs="仿宋"/>
          <w:sz w:val="24"/>
        </w:rPr>
      </w:pPr>
      <w:r>
        <w:rPr>
          <w:rFonts w:hint="eastAsia" w:ascii="仿宋" w:hAnsi="仿宋" w:eastAsia="仿宋" w:cs="仿宋"/>
          <w:sz w:val="24"/>
        </w:rPr>
        <w:t>3、谈判文件发售时间：2024年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日0时至2024年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日24时；</w:t>
      </w:r>
    </w:p>
    <w:p w14:paraId="448D42C7">
      <w:pPr>
        <w:spacing w:line="360" w:lineRule="auto"/>
        <w:ind w:firstLine="480" w:firstLineChars="200"/>
        <w:rPr>
          <w:rFonts w:ascii="仿宋" w:hAnsi="仿宋" w:eastAsia="仿宋" w:cs="仿宋"/>
          <w:sz w:val="24"/>
        </w:rPr>
      </w:pPr>
      <w:r>
        <w:rPr>
          <w:rFonts w:hint="eastAsia" w:ascii="仿宋" w:hAnsi="仿宋" w:eastAsia="仿宋" w:cs="仿宋"/>
          <w:sz w:val="24"/>
        </w:rPr>
        <w:t>4、谈判文件每套售价：人民币500元，售后不退（汇款后将回执扫描后发联系人邮箱主题栏里写清楚项目名称）；</w:t>
      </w:r>
    </w:p>
    <w:p w14:paraId="14765813">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日9时30分（以发出的谈判文件为准）；</w:t>
      </w:r>
    </w:p>
    <w:p w14:paraId="26DDA349">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bookmarkStart w:id="1" w:name="_GoBack"/>
      <w:r>
        <w:rPr>
          <w:rFonts w:hint="eastAsia" w:ascii="仿宋" w:hAnsi="仿宋" w:eastAsia="仿宋" w:cs="仿宋"/>
          <w:color w:val="000000"/>
          <w:sz w:val="24"/>
        </w:rPr>
        <w:t>蒙牛集团电子采购招标平台（https://zbcg.mengniu.cn/）</w:t>
      </w:r>
      <w:bookmarkEnd w:id="1"/>
    </w:p>
    <w:p w14:paraId="19DB45CD">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37F19E6D">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中国采购与招标网（http://www.chinabidding.com.cn）</w:t>
      </w:r>
    </w:p>
    <w:p w14:paraId="1814E1C4">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中国招标投标公共服务平台（http://www.cebpubservice.com/）</w:t>
      </w:r>
    </w:p>
    <w:p w14:paraId="7647E092">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ascii="仿宋" w:hAnsi="仿宋" w:eastAsia="仿宋" w:cs="仿宋"/>
          <w:sz w:val="24"/>
        </w:rPr>
      </w:pPr>
      <w:r>
        <w:rPr>
          <w:rFonts w:hint="eastAsia" w:ascii="仿宋" w:hAnsi="仿宋" w:eastAsia="仿宋" w:cs="仿宋"/>
          <w:sz w:val="24"/>
        </w:rPr>
        <w:t>采购方：内蒙古蒙牛乳业（集团）股份有限公司</w:t>
      </w:r>
    </w:p>
    <w:p w14:paraId="50553CC3">
      <w:pPr>
        <w:pStyle w:val="12"/>
        <w:widowControl/>
        <w:spacing w:beforeAutospacing="0" w:afterAutospacing="0" w:line="360" w:lineRule="auto"/>
        <w:ind w:firstLine="480"/>
      </w:pPr>
      <w:r>
        <w:rPr>
          <w:rFonts w:ascii="仿宋" w:hAnsi="仿宋" w:eastAsia="仿宋" w:cs="仿宋"/>
        </w:rPr>
        <w:t>业务咨询联系人：张嘉馨                  </w:t>
      </w:r>
    </w:p>
    <w:p w14:paraId="12736347">
      <w:pPr>
        <w:pStyle w:val="12"/>
        <w:widowControl/>
        <w:spacing w:beforeAutospacing="0" w:afterAutospacing="0" w:line="360" w:lineRule="auto"/>
        <w:ind w:firstLine="480"/>
      </w:pPr>
      <w:r>
        <w:rPr>
          <w:rFonts w:hint="eastAsia" w:ascii="仿宋" w:hAnsi="仿宋" w:eastAsia="仿宋" w:cs="仿宋"/>
        </w:rPr>
        <w:t>联系方式：15148996062</w:t>
      </w:r>
    </w:p>
    <w:p w14:paraId="642C458F">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1F6E2459">
      <w:pPr>
        <w:spacing w:line="360" w:lineRule="auto"/>
        <w:ind w:firstLine="480" w:firstLineChars="200"/>
        <w:rPr>
          <w:rFonts w:ascii="仿宋" w:hAnsi="仿宋" w:eastAsia="仿宋" w:cs="仿宋"/>
          <w:sz w:val="24"/>
        </w:rPr>
      </w:pPr>
      <w:r>
        <w:rPr>
          <w:rFonts w:hint="eastAsia" w:ascii="仿宋" w:hAnsi="仿宋" w:eastAsia="仿宋" w:cs="仿宋"/>
          <w:sz w:val="24"/>
        </w:rPr>
        <w:t>监督单位：内蒙古蒙牛乳业（集团）股份有限公司招投标管理部</w:t>
      </w:r>
    </w:p>
    <w:p w14:paraId="6FD3955D">
      <w:pPr>
        <w:spacing w:line="360" w:lineRule="auto"/>
        <w:ind w:firstLine="480" w:firstLineChars="200"/>
        <w:rPr>
          <w:rFonts w:ascii="仿宋" w:hAnsi="仿宋" w:eastAsia="仿宋" w:cs="仿宋"/>
          <w:sz w:val="24"/>
        </w:rPr>
      </w:pPr>
      <w:r>
        <w:rPr>
          <w:rFonts w:hint="eastAsia" w:ascii="仿宋" w:hAnsi="仿宋" w:eastAsia="仿宋" w:cs="仿宋"/>
          <w:sz w:val="24"/>
        </w:rPr>
        <w:t>监 督 人:</w:t>
      </w:r>
      <w:r>
        <w:rPr>
          <w:rFonts w:ascii="仿宋" w:hAnsi="仿宋" w:eastAsia="仿宋" w:cs="仿宋"/>
          <w:sz w:val="24"/>
        </w:rPr>
        <w:t>薛海燕</w:t>
      </w:r>
      <w:r>
        <w:rPr>
          <w:rFonts w:hint="eastAsia" w:ascii="仿宋" w:hAnsi="仿宋" w:eastAsia="仿宋" w:cs="仿宋"/>
          <w:sz w:val="24"/>
        </w:rPr>
        <w:t xml:space="preserve">                        </w:t>
      </w:r>
    </w:p>
    <w:p w14:paraId="0CD6DFC8">
      <w:pPr>
        <w:spacing w:line="360" w:lineRule="auto"/>
        <w:ind w:firstLine="480" w:firstLineChars="200"/>
        <w:rPr>
          <w:rFonts w:ascii="仿宋" w:hAnsi="仿宋" w:eastAsia="仿宋" w:cs="仿宋"/>
          <w:sz w:val="24"/>
        </w:rPr>
      </w:pPr>
      <w:r>
        <w:rPr>
          <w:rFonts w:hint="eastAsia" w:ascii="仿宋" w:hAnsi="仿宋" w:eastAsia="仿宋" w:cs="仿宋"/>
          <w:sz w:val="24"/>
        </w:rPr>
        <w:t>联系方式：0471-7393642/15034952008</w:t>
      </w:r>
    </w:p>
    <w:p w14:paraId="12FDDCDE">
      <w:pPr>
        <w:pStyle w:val="19"/>
        <w:spacing w:line="360" w:lineRule="auto"/>
        <w:ind w:firstLine="480" w:firstLineChars="200"/>
        <w:rPr>
          <w:rFonts w:ascii="仿宋" w:hAnsi="仿宋" w:eastAsia="仿宋" w:cs="仿宋"/>
        </w:rPr>
      </w:pPr>
      <w:r>
        <w:rPr>
          <w:rFonts w:hint="eastAsia" w:ascii="仿宋" w:hAnsi="仿宋" w:eastAsia="仿宋" w:cs="仿宋"/>
        </w:rPr>
        <w:t>电子邮件：xuehaiyan@mengniu.cn</w:t>
      </w:r>
    </w:p>
    <w:p w14:paraId="62061567">
      <w:pPr>
        <w:spacing w:line="360" w:lineRule="auto"/>
        <w:ind w:firstLine="480" w:firstLineChars="200"/>
        <w:rPr>
          <w:rFonts w:ascii="仿宋" w:hAnsi="仿宋" w:eastAsia="仿宋" w:cs="仿宋"/>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480"/>
        <w:jc w:val="right"/>
        <w:rPr>
          <w:rFonts w:ascii="仿宋" w:hAnsi="仿宋" w:eastAsia="仿宋" w:cs="仿宋"/>
          <w:color w:val="000000"/>
          <w:sz w:val="24"/>
        </w:rPr>
      </w:pPr>
    </w:p>
    <w:p w14:paraId="5EBF2D42">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3</w:t>
      </w:r>
      <w:r>
        <w:rPr>
          <w:rFonts w:hint="eastAsia" w:ascii="仿宋" w:hAnsi="仿宋" w:eastAsia="仿宋" w:cs="仿宋"/>
          <w:color w:val="000000"/>
          <w:sz w:val="24"/>
        </w:rPr>
        <w:t>日</w:t>
      </w:r>
    </w:p>
    <w:p w14:paraId="21CB033D">
      <w:pPr>
        <w:rPr>
          <w:rFonts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竞谈人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 xml:space="preserve">竞 谈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竞谈人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rPr>
        <w:t>竞谈活动中的一切事宜。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ascii="仿宋" w:hAnsi="仿宋" w:eastAsia="仿宋" w:cs="仿宋"/>
          <w:sz w:val="24"/>
        </w:rPr>
      </w:pPr>
      <w:r>
        <w:rPr>
          <w:rFonts w:hint="eastAsia" w:ascii="仿宋" w:hAnsi="仿宋" w:eastAsia="仿宋" w:cs="仿宋"/>
          <w:sz w:val="24"/>
        </w:rPr>
        <w:t>附件1：</w:t>
      </w:r>
    </w:p>
    <w:p w14:paraId="5B076EF8">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6"/>
        <w:overflowPunct w:val="0"/>
        <w:spacing w:line="360" w:lineRule="auto"/>
        <w:ind w:left="0"/>
        <w:jc w:val="both"/>
        <w:rPr>
          <w:rFonts w:hAnsi="仿宋"/>
          <w:kern w:val="2"/>
          <w:sz w:val="24"/>
          <w:szCs w:val="24"/>
        </w:rPr>
      </w:pPr>
    </w:p>
    <w:p w14:paraId="7FFE986D">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致:</w:t>
      </w:r>
    </w:p>
    <w:p w14:paraId="59F95629">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关于"</w:t>
      </w:r>
      <w:r>
        <w:rPr>
          <w:rFonts w:hint="eastAsia" w:hAnsi="仿宋"/>
          <w:kern w:val="2"/>
          <w:sz w:val="24"/>
          <w:szCs w:val="24"/>
          <w:u w:val="single"/>
          <w:lang w:val="en-US" w:eastAsia="zh-CN"/>
        </w:rPr>
        <w:t xml:space="preserve">                  </w:t>
      </w:r>
      <w:r>
        <w:rPr>
          <w:rFonts w:hint="eastAsia" w:hAnsi="仿宋"/>
          <w:kern w:val="2"/>
          <w:sz w:val="24"/>
          <w:szCs w:val="24"/>
        </w:rPr>
        <w:t>项目(招标项目编号:</w:t>
      </w:r>
      <w:r>
        <w:rPr>
          <w:rFonts w:hint="eastAsia" w:hAnsi="仿宋"/>
          <w:kern w:val="2"/>
          <w:sz w:val="24"/>
          <w:szCs w:val="24"/>
          <w:u w:val="single"/>
          <w:lang w:val="en-US" w:eastAsia="zh-CN"/>
        </w:rPr>
        <w:t xml:space="preserve">            </w:t>
      </w:r>
      <w:r>
        <w:rPr>
          <w:rFonts w:hint="eastAsia" w:hAnsi="仿宋"/>
          <w:kern w:val="2"/>
          <w:sz w:val="24"/>
          <w:szCs w:val="24"/>
        </w:rPr>
        <w:t>)"项目，我公司未采取联合体形式参与本项目</w:t>
      </w:r>
      <w:r>
        <w:rPr>
          <w:rFonts w:hint="eastAsia" w:hAnsi="仿宋"/>
          <w:kern w:val="2"/>
          <w:sz w:val="24"/>
          <w:szCs w:val="24"/>
          <w:lang w:val="en-US" w:eastAsia="zh-CN"/>
        </w:rPr>
        <w:t>竞谈，承诺中标后不分包或转包</w:t>
      </w:r>
      <w:r>
        <w:rPr>
          <w:rFonts w:hint="eastAsia" w:hAnsi="仿宋"/>
          <w:kern w:val="2"/>
          <w:sz w:val="24"/>
          <w:szCs w:val="24"/>
        </w:rPr>
        <w:t>。</w:t>
      </w:r>
    </w:p>
    <w:p w14:paraId="71103F1E">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49726CD">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AF94062">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kern w:val="2"/>
          <w:sz w:val="24"/>
          <w:szCs w:val="24"/>
        </w:rPr>
      </w:pPr>
      <w:r>
        <w:rPr>
          <w:rFonts w:hint="eastAsia" w:hAnsi="仿宋"/>
          <w:kern w:val="2"/>
          <w:sz w:val="24"/>
          <w:szCs w:val="24"/>
        </w:rPr>
        <w:t>特此声明!</w:t>
      </w:r>
    </w:p>
    <w:p w14:paraId="0B0D26A5">
      <w:pPr>
        <w:pStyle w:val="6"/>
        <w:overflowPunct w:val="0"/>
        <w:spacing w:line="360" w:lineRule="auto"/>
        <w:ind w:left="0"/>
        <w:jc w:val="both"/>
        <w:rPr>
          <w:rFonts w:hAnsi="仿宋"/>
          <w:kern w:val="2"/>
          <w:sz w:val="24"/>
          <w:szCs w:val="24"/>
        </w:rPr>
      </w:pPr>
    </w:p>
    <w:p w14:paraId="08D553A5">
      <w:pPr>
        <w:pStyle w:val="6"/>
        <w:overflowPunct w:val="0"/>
        <w:spacing w:line="360" w:lineRule="auto"/>
        <w:ind w:left="0"/>
        <w:jc w:val="right"/>
        <w:rPr>
          <w:rFonts w:hint="eastAsia" w:hAnsi="仿宋"/>
          <w:kern w:val="2"/>
          <w:sz w:val="24"/>
          <w:szCs w:val="24"/>
          <w:lang w:val="en-US" w:eastAsia="zh-CN"/>
        </w:rPr>
      </w:pPr>
      <w:r>
        <w:rPr>
          <w:rFonts w:hint="eastAsia" w:hAnsi="仿宋"/>
          <w:kern w:val="2"/>
          <w:sz w:val="24"/>
          <w:szCs w:val="24"/>
          <w:lang w:val="en-US" w:eastAsia="zh-CN"/>
        </w:rPr>
        <w:t>xx公司</w:t>
      </w:r>
    </w:p>
    <w:p w14:paraId="1D6206C3">
      <w:pPr>
        <w:pStyle w:val="6"/>
        <w:overflowPunct w:val="0"/>
        <w:spacing w:line="360" w:lineRule="auto"/>
        <w:ind w:left="0"/>
        <w:jc w:val="right"/>
        <w:rPr>
          <w:rFonts w:hint="default" w:hAnsi="仿宋"/>
          <w:kern w:val="2"/>
          <w:sz w:val="24"/>
          <w:szCs w:val="24"/>
          <w:lang w:val="en-US" w:eastAsia="zh-CN"/>
        </w:rPr>
      </w:pPr>
      <w:r>
        <w:rPr>
          <w:rFonts w:hint="eastAsia" w:hAnsi="仿宋"/>
          <w:kern w:val="2"/>
          <w:sz w:val="24"/>
          <w:szCs w:val="24"/>
          <w:lang w:val="en-US" w:eastAsia="zh-CN"/>
        </w:rPr>
        <w:t>xx日期</w:t>
      </w:r>
    </w:p>
    <w:p w14:paraId="41F32852">
      <w:pPr>
        <w:pStyle w:val="6"/>
        <w:overflowPunct w:val="0"/>
        <w:spacing w:line="360" w:lineRule="auto"/>
        <w:ind w:left="0"/>
        <w:jc w:val="both"/>
        <w:rPr>
          <w:rFonts w:hAnsi="仿宋"/>
          <w:kern w:val="2"/>
          <w:sz w:val="24"/>
          <w:szCs w:val="24"/>
        </w:rPr>
      </w:pPr>
    </w:p>
    <w:p w14:paraId="41595E7E">
      <w:pPr>
        <w:pStyle w:val="6"/>
        <w:overflowPunct w:val="0"/>
        <w:spacing w:line="360" w:lineRule="auto"/>
        <w:ind w:left="0"/>
        <w:jc w:val="both"/>
        <w:rPr>
          <w:rFonts w:hAnsi="仿宋"/>
          <w:kern w:val="2"/>
          <w:sz w:val="24"/>
          <w:szCs w:val="24"/>
        </w:rPr>
      </w:pPr>
    </w:p>
    <w:p w14:paraId="28C2D4B7">
      <w:pPr>
        <w:pStyle w:val="6"/>
        <w:overflowPunct w:val="0"/>
        <w:spacing w:line="360" w:lineRule="auto"/>
        <w:ind w:left="0"/>
        <w:jc w:val="both"/>
        <w:rPr>
          <w:rFonts w:hAnsi="仿宋"/>
          <w:kern w:val="2"/>
          <w:sz w:val="24"/>
          <w:szCs w:val="24"/>
        </w:rPr>
      </w:pPr>
    </w:p>
    <w:p w14:paraId="6D8F4107">
      <w:pPr>
        <w:pStyle w:val="6"/>
        <w:overflowPunct w:val="0"/>
        <w:spacing w:line="360" w:lineRule="auto"/>
        <w:ind w:left="0"/>
        <w:jc w:val="both"/>
        <w:rPr>
          <w:rFonts w:hAnsi="仿宋"/>
          <w:kern w:val="2"/>
          <w:sz w:val="24"/>
          <w:szCs w:val="24"/>
        </w:rPr>
      </w:pPr>
    </w:p>
    <w:p w14:paraId="649137BB">
      <w:pPr>
        <w:pStyle w:val="6"/>
        <w:overflowPunct w:val="0"/>
        <w:spacing w:line="360" w:lineRule="auto"/>
        <w:ind w:left="0"/>
        <w:jc w:val="both"/>
        <w:rPr>
          <w:rFonts w:hAnsi="仿宋"/>
          <w:kern w:val="2"/>
          <w:sz w:val="24"/>
          <w:szCs w:val="24"/>
        </w:rPr>
      </w:pPr>
    </w:p>
    <w:p w14:paraId="7964A10A">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GViYzg2NjNmZTlkYTAyYzNhN2E2Y2ZjMDlkZjA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9A7543"/>
    <w:rsid w:val="02145195"/>
    <w:rsid w:val="023F4FFC"/>
    <w:rsid w:val="025E6117"/>
    <w:rsid w:val="02FF4BC4"/>
    <w:rsid w:val="03824AAC"/>
    <w:rsid w:val="03B94246"/>
    <w:rsid w:val="06402C0B"/>
    <w:rsid w:val="07A34FF1"/>
    <w:rsid w:val="08337E2C"/>
    <w:rsid w:val="084D31AF"/>
    <w:rsid w:val="0BF113B5"/>
    <w:rsid w:val="0C935C3C"/>
    <w:rsid w:val="0D8F55BF"/>
    <w:rsid w:val="0DB10127"/>
    <w:rsid w:val="12483364"/>
    <w:rsid w:val="12857DF3"/>
    <w:rsid w:val="144D68B0"/>
    <w:rsid w:val="14DC4893"/>
    <w:rsid w:val="154D47EE"/>
    <w:rsid w:val="158C7332"/>
    <w:rsid w:val="15B036FB"/>
    <w:rsid w:val="1A357E1A"/>
    <w:rsid w:val="1B0B43F3"/>
    <w:rsid w:val="1B0D514B"/>
    <w:rsid w:val="1CED3535"/>
    <w:rsid w:val="1D7E4010"/>
    <w:rsid w:val="1FFE1506"/>
    <w:rsid w:val="20210D51"/>
    <w:rsid w:val="206A6B9C"/>
    <w:rsid w:val="20E013D0"/>
    <w:rsid w:val="21E67E2B"/>
    <w:rsid w:val="242157C3"/>
    <w:rsid w:val="24F22597"/>
    <w:rsid w:val="255E46D4"/>
    <w:rsid w:val="26292F4C"/>
    <w:rsid w:val="262E286F"/>
    <w:rsid w:val="26453613"/>
    <w:rsid w:val="273B4842"/>
    <w:rsid w:val="27FE22A3"/>
    <w:rsid w:val="2BB67A3C"/>
    <w:rsid w:val="2C98332E"/>
    <w:rsid w:val="2CB744E2"/>
    <w:rsid w:val="2D67693D"/>
    <w:rsid w:val="2EA339A5"/>
    <w:rsid w:val="2EB931C8"/>
    <w:rsid w:val="30A60587"/>
    <w:rsid w:val="31440D43"/>
    <w:rsid w:val="32A56DA7"/>
    <w:rsid w:val="332D7CE1"/>
    <w:rsid w:val="34AA79F0"/>
    <w:rsid w:val="35661288"/>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6905E67"/>
    <w:rsid w:val="469945A1"/>
    <w:rsid w:val="46A65751"/>
    <w:rsid w:val="46CF460D"/>
    <w:rsid w:val="47C16834"/>
    <w:rsid w:val="47C456ED"/>
    <w:rsid w:val="490E3DD1"/>
    <w:rsid w:val="4AE000BE"/>
    <w:rsid w:val="4B186467"/>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B2439B2"/>
    <w:rsid w:val="5BB46942"/>
    <w:rsid w:val="5D8F1B64"/>
    <w:rsid w:val="5DEA21A7"/>
    <w:rsid w:val="5DFFA46F"/>
    <w:rsid w:val="5FAD37A1"/>
    <w:rsid w:val="5FC01634"/>
    <w:rsid w:val="60155303"/>
    <w:rsid w:val="61404E37"/>
    <w:rsid w:val="61BA27D8"/>
    <w:rsid w:val="67825B46"/>
    <w:rsid w:val="67FF4FC2"/>
    <w:rsid w:val="6A05798A"/>
    <w:rsid w:val="6A3A6264"/>
    <w:rsid w:val="6C755C79"/>
    <w:rsid w:val="6CA81631"/>
    <w:rsid w:val="6DFF3A4C"/>
    <w:rsid w:val="6ED861A0"/>
    <w:rsid w:val="6FD64C81"/>
    <w:rsid w:val="6FDC1165"/>
    <w:rsid w:val="70892DF9"/>
    <w:rsid w:val="74BB2FF2"/>
    <w:rsid w:val="77831C55"/>
    <w:rsid w:val="77E9279A"/>
    <w:rsid w:val="77F008AA"/>
    <w:rsid w:val="78287E53"/>
    <w:rsid w:val="793632CD"/>
    <w:rsid w:val="79F2026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6465</Words>
  <Characters>7052</Characters>
  <Lines>52</Lines>
  <Paragraphs>14</Paragraphs>
  <TotalTime>4</TotalTime>
  <ScaleCrop>false</ScaleCrop>
  <LinksUpToDate>false</LinksUpToDate>
  <CharactersWithSpaces>7644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2024-08-03T12:43:26Z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B719AEF67E7D4A19BD842B83C4E7B3F4_13</vt:lpwstr>
  </property>
</Properties>
</file>