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 w:ascii="仿宋" w:hAnsi="仿宋" w:eastAsia="仿宋" w:cs="仿宋"/>
          <w:lang w:val="en-US" w:eastAsia="zh-CN"/>
        </w:rPr>
      </w:pPr>
      <w:bookmarkStart w:id="0" w:name="_Toc29679"/>
      <w:r>
        <w:rPr>
          <w:rFonts w:hint="eastAsia" w:ascii="仿宋" w:hAnsi="仿宋" w:eastAsia="仿宋" w:cs="仿宋"/>
          <w:lang w:val="en-US" w:eastAsia="zh-CN"/>
        </w:rPr>
        <w:t>供应商-递交报名材料</w:t>
      </w:r>
      <w:bookmarkEnd w:id="0"/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“公开”询比价项目，供应商可由【公告信息】查找对于招标公告，【进入项目】参与投标。</w:t>
      </w:r>
    </w:p>
    <w:p>
      <w:pPr>
        <w:ind w:left="-1039" w:leftChars="-495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674485" cy="1859915"/>
            <wp:effectExtent l="0" t="0" r="635" b="14605"/>
            <wp:docPr id="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448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“邀请</w:t>
      </w:r>
      <w:r>
        <w:rPr>
          <w:rFonts w:hint="default" w:ascii="仿宋" w:hAnsi="仿宋" w:eastAsia="仿宋" w:cs="仿宋"/>
          <w:lang w:val="en-US" w:eastAsia="zh-CN"/>
        </w:rPr>
        <w:t>”</w:t>
      </w:r>
      <w:r>
        <w:rPr>
          <w:rFonts w:hint="eastAsia" w:ascii="仿宋" w:hAnsi="仿宋" w:eastAsia="仿宋" w:cs="仿宋"/>
          <w:lang w:val="en-US" w:eastAsia="zh-CN"/>
        </w:rPr>
        <w:t>询比价项目，供应商可由【我的邀请】查找对于招标公告，【进入项目】参与投标。</w:t>
      </w:r>
    </w:p>
    <w:p>
      <w:pPr>
        <w:numPr>
          <w:ilvl w:val="0"/>
          <w:numId w:val="0"/>
        </w:numPr>
        <w:ind w:left="-1039" w:leftChars="-495" w:right="0" w:rightChars="0" w:firstLine="0" w:firstLineChars="0"/>
        <w:jc w:val="left"/>
        <w:rPr>
          <w:rFonts w:hint="eastAsia" w:ascii="仿宋" w:hAnsi="仿宋" w:eastAsia="仿宋" w:cs="仿宋"/>
          <w:color w:val="FF0000"/>
          <w:lang w:val="en-US" w:eastAsia="zh-CN"/>
        </w:rPr>
      </w:pPr>
      <w:r>
        <w:rPr>
          <w:rFonts w:hint="eastAsia" w:ascii="仿宋" w:hAnsi="仿宋" w:eastAsia="仿宋" w:cs="仿宋"/>
          <w:color w:val="FF0000"/>
          <w:lang w:val="en-US" w:eastAsia="zh-CN"/>
        </w:rPr>
        <w:t>（收到邀请函供应商如无意愿参与本次项目，则无需对系统内邀请函做任何操作，忽略即可。不参与项目并不会对后续其他项目投标造成影响）</w:t>
      </w:r>
    </w:p>
    <w:p>
      <w:pPr>
        <w:ind w:left="-1039" w:leftChars="-495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670040" cy="1837690"/>
            <wp:effectExtent l="0" t="0" r="5080" b="6350"/>
            <wp:docPr id="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004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进入项目后，供应商通过【递交报名材料】功能【上传】报名材料并【提交审核】。</w:t>
      </w:r>
    </w:p>
    <w:p>
      <w:pPr>
        <w:ind w:left="-1039" w:leftChars="-495" w:firstLine="0" w:firstLineChars="0"/>
        <w:rPr>
          <w:rFonts w:hint="default" w:ascii="仿宋" w:hAnsi="仿宋" w:eastAsia="仿宋" w:cs="仿宋"/>
          <w:b/>
          <w:bCs/>
          <w:color w:val="FF000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lang w:val="en-US" w:eastAsia="zh-CN"/>
        </w:rPr>
        <w:t>（如供应商在此界面未找到【递交报名资料】模块，则可能是</w:t>
      </w:r>
      <w:bookmarkStart w:id="7" w:name="_GoBack"/>
      <w:bookmarkEnd w:id="7"/>
      <w:r>
        <w:rPr>
          <w:rFonts w:hint="eastAsia" w:ascii="仿宋" w:hAnsi="仿宋" w:eastAsia="仿宋" w:cs="仿宋"/>
          <w:b/>
          <w:bCs/>
          <w:color w:val="FF0000"/>
          <w:lang w:val="en-US" w:eastAsia="zh-CN"/>
        </w:rPr>
        <w:t>采购人发布项目时错选了【无需供应商报名】）</w:t>
      </w:r>
    </w:p>
    <w:p>
      <w:pPr>
        <w:ind w:left="-840" w:leftChars="-40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621145" cy="2680970"/>
            <wp:effectExtent l="0" t="0" r="8255" b="1270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840" w:leftChars="-400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638290" cy="3647440"/>
            <wp:effectExtent l="0" t="0" r="6350" b="10160"/>
            <wp:docPr id="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 w:ascii="仿宋" w:hAnsi="仿宋" w:eastAsia="仿宋" w:cs="仿宋"/>
          <w:lang w:val="en-US" w:eastAsia="zh-CN"/>
        </w:rPr>
      </w:pPr>
      <w:bookmarkStart w:id="1" w:name="_Toc12379"/>
      <w:r>
        <w:rPr>
          <w:rFonts w:hint="eastAsia" w:ascii="仿宋" w:hAnsi="仿宋" w:eastAsia="仿宋" w:cs="仿宋"/>
          <w:lang w:val="en-US" w:eastAsia="zh-CN"/>
        </w:rPr>
        <w:t>供应商-下载招标文件</w:t>
      </w:r>
      <w:bookmarkEnd w:id="1"/>
    </w:p>
    <w:p>
      <w:pPr>
        <w:ind w:left="-840" w:leftChars="-40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投标供应商在【询价单】环节可下载招标文件。</w:t>
      </w:r>
    </w:p>
    <w:p>
      <w:pPr>
        <w:ind w:left="-840" w:leftChars="-400" w:firstLine="0" w:firstLineChars="0"/>
        <w:rPr>
          <w:rFonts w:hint="eastAsia"/>
          <w:b w:val="0"/>
          <w:bCs w:val="0"/>
          <w:color w:val="FF0000"/>
          <w:lang w:val="en-US" w:eastAsia="zh-CN"/>
        </w:rPr>
      </w:pPr>
      <w:r>
        <w:rPr>
          <w:rFonts w:hint="eastAsia"/>
          <w:b w:val="0"/>
          <w:bCs w:val="0"/>
          <w:color w:val="FF0000"/>
          <w:lang w:val="en-US" w:eastAsia="zh-CN"/>
        </w:rPr>
        <w:t>（供应商可【下载招标文件】有以下两个前提条件：</w:t>
      </w:r>
    </w:p>
    <w:p>
      <w:pPr>
        <w:numPr>
          <w:ilvl w:val="0"/>
          <w:numId w:val="0"/>
        </w:numPr>
        <w:ind w:left="-840" w:leftChars="-400"/>
        <w:rPr>
          <w:rFonts w:hint="eastAsia"/>
          <w:b w:val="0"/>
          <w:bCs w:val="0"/>
          <w:color w:val="FF0000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color w:val="FF0000"/>
          <w:kern w:val="2"/>
          <w:sz w:val="21"/>
          <w:szCs w:val="24"/>
          <w:lang w:val="en-US" w:eastAsia="zh-CN" w:bidi="ar-SA"/>
        </w:rPr>
        <w:t>1.</w:t>
      </w:r>
      <w:r>
        <w:rPr>
          <w:rFonts w:hint="eastAsia"/>
          <w:b w:val="0"/>
          <w:bCs w:val="0"/>
          <w:color w:val="FF0000"/>
          <w:lang w:val="en-US" w:eastAsia="zh-CN"/>
        </w:rPr>
        <w:t>该供应商已递交报名材料，且报名已被采购人</w:t>
      </w:r>
      <w:r>
        <w:rPr>
          <w:rFonts w:hint="eastAsia"/>
          <w:b/>
          <w:bCs/>
          <w:color w:val="FF0000"/>
          <w:lang w:val="en-US" w:eastAsia="zh-CN"/>
        </w:rPr>
        <w:t>审核通过</w:t>
      </w:r>
      <w:r>
        <w:rPr>
          <w:rFonts w:hint="eastAsia"/>
          <w:b w:val="0"/>
          <w:bCs w:val="0"/>
          <w:color w:val="FF0000"/>
          <w:lang w:val="en-US" w:eastAsia="zh-CN"/>
        </w:rPr>
        <w:t>；</w:t>
      </w:r>
    </w:p>
    <w:p>
      <w:pPr>
        <w:numPr>
          <w:ilvl w:val="0"/>
          <w:numId w:val="0"/>
        </w:numPr>
        <w:ind w:leftChars="-400"/>
        <w:rPr>
          <w:rFonts w:hint="default"/>
          <w:b w:val="0"/>
          <w:bCs w:val="0"/>
          <w:color w:val="FF0000"/>
          <w:lang w:val="en-US" w:eastAsia="zh-CN"/>
        </w:rPr>
      </w:pPr>
      <w:r>
        <w:rPr>
          <w:rFonts w:hint="eastAsia"/>
          <w:b w:val="0"/>
          <w:bCs w:val="0"/>
          <w:color w:val="FF0000"/>
          <w:lang w:val="en-US" w:eastAsia="zh-CN"/>
        </w:rPr>
        <w:t>2.采购人已完成上传招标文件，且审批已通过，状态变为“已发布”；</w:t>
      </w:r>
    </w:p>
    <w:p>
      <w:pPr>
        <w:numPr>
          <w:ilvl w:val="0"/>
          <w:numId w:val="0"/>
        </w:numPr>
        <w:ind w:leftChars="-40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 w:val="0"/>
          <w:bCs w:val="0"/>
          <w:color w:val="FF0000"/>
          <w:lang w:val="en-US" w:eastAsia="zh-CN"/>
        </w:rPr>
        <w:t>3.目前时间未超过招标公告或邀请函中的</w:t>
      </w:r>
      <w:r>
        <w:rPr>
          <w:rFonts w:hint="eastAsia"/>
          <w:b/>
          <w:bCs/>
          <w:color w:val="FF0000"/>
          <w:lang w:val="en-US" w:eastAsia="zh-CN"/>
        </w:rPr>
        <w:t>【文件获取截止时间】。</w:t>
      </w:r>
    </w:p>
    <w:p>
      <w:pPr>
        <w:numPr>
          <w:ilvl w:val="0"/>
          <w:numId w:val="0"/>
        </w:numPr>
        <w:ind w:leftChars="-400"/>
        <w:rPr>
          <w:rFonts w:hint="default"/>
          <w:lang w:val="en-US" w:eastAsia="zh-CN"/>
        </w:rPr>
      </w:pPr>
      <w:r>
        <w:rPr>
          <w:rFonts w:hint="eastAsia"/>
          <w:b w:val="0"/>
          <w:bCs w:val="0"/>
          <w:color w:val="FF0000"/>
          <w:lang w:val="en-US" w:eastAsia="zh-CN"/>
        </w:rPr>
        <w:t>如已超过截止时间未下载，但未到开标时间，采购人可变更公告或邀请函以延后【文件获取截止时间】）</w:t>
      </w:r>
    </w:p>
    <w:p>
      <w:pPr>
        <w:ind w:left="-840" w:leftChars="-40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74790" cy="2236470"/>
            <wp:effectExtent l="0" t="0" r="8890" b="381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479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840" w:leftChars="-400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投标供应商在【下载招标文件】页面，点击页面顶端的“文件名称”即可下载招标文件附件。</w:t>
      </w:r>
    </w:p>
    <w:p>
      <w:pPr>
        <w:ind w:left="-840" w:leftChars="-400" w:firstLine="0" w:firstLineChars="0"/>
        <w:rPr>
          <w:rFonts w:hint="default" w:ascii="仿宋" w:hAnsi="仿宋" w:eastAsia="仿宋" w:cs="仿宋"/>
          <w:color w:val="FF0000"/>
          <w:lang w:val="en-US" w:eastAsia="zh-CN"/>
        </w:rPr>
      </w:pPr>
      <w:r>
        <w:rPr>
          <w:rFonts w:hint="eastAsia" w:ascii="仿宋" w:hAnsi="仿宋" w:eastAsia="仿宋" w:cs="仿宋"/>
          <w:color w:val="FF0000"/>
          <w:lang w:val="en-US" w:eastAsia="zh-CN"/>
        </w:rPr>
        <w:t>（投标</w:t>
      </w:r>
      <w:r>
        <w:rPr>
          <w:rFonts w:hint="eastAsia"/>
          <w:color w:val="FF0000"/>
          <w:lang w:val="en-US" w:eastAsia="zh-CN"/>
        </w:rPr>
        <w:t>供应商</w:t>
      </w:r>
      <w:r>
        <w:rPr>
          <w:rFonts w:hint="eastAsia"/>
          <w:b/>
          <w:bCs/>
          <w:color w:val="FF0000"/>
          <w:lang w:val="en-US" w:eastAsia="zh-CN"/>
        </w:rPr>
        <w:t>必须完成下载招标</w:t>
      </w:r>
      <w:r>
        <w:rPr>
          <w:rFonts w:hint="eastAsia"/>
          <w:color w:val="FF0000"/>
          <w:lang w:val="en-US" w:eastAsia="zh-CN"/>
        </w:rPr>
        <w:t>后，系统才会跳转至【网上报价】环节，否则无法投标报价）</w:t>
      </w:r>
    </w:p>
    <w:p>
      <w:pPr>
        <w:ind w:left="-840" w:leftChars="-400" w:firstLine="0" w:firstLineChars="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如招标文件有变更，会在【变更/补遗文件记录】列表显示变更记录，但下载最新招标文件依然需点击顶端“文件名称”，而非点击变更记录。</w:t>
      </w:r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734810" cy="3723005"/>
            <wp:effectExtent l="0" t="0" r="1270" b="10795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2" w:name="_Toc15710"/>
      <w:r>
        <w:rPr>
          <w:rFonts w:hint="eastAsia" w:ascii="仿宋" w:hAnsi="仿宋" w:eastAsia="仿宋" w:cs="仿宋"/>
          <w:lang w:val="en-US" w:eastAsia="zh-CN"/>
        </w:rPr>
        <w:t>供应商-递交保证金</w:t>
      </w:r>
      <w:bookmarkEnd w:id="2"/>
    </w:p>
    <w:p>
      <w:pPr>
        <w:ind w:left="-1039" w:leftChars="-495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如供应商所投标项目要求缴纳保证金，供应商须在【投递报价文件】前完成【递交保证金】，且采购人确认通过。</w:t>
      </w:r>
    </w:p>
    <w:p>
      <w:pPr>
        <w:ind w:left="-1039" w:leftChars="-495" w:firstLine="0" w:firstLine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（电子采招平台招投标项目，供应商保证金缴纳采用线下打款，打款凭证上传平台，由采购人确认核实凭证后通过）</w:t>
      </w:r>
    </w:p>
    <w:p>
      <w:pPr>
        <w:ind w:left="-1039" w:leftChars="-495" w:firstLine="0" w:firstLineChars="0"/>
      </w:pPr>
      <w:r>
        <w:drawing>
          <wp:inline distT="0" distB="0" distL="114300" distR="114300">
            <wp:extent cx="6831965" cy="1864360"/>
            <wp:effectExtent l="0" t="0" r="10795" b="10160"/>
            <wp:docPr id="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firstLine="0" w:firstLineChars="0"/>
      </w:pPr>
      <w:r>
        <w:drawing>
          <wp:inline distT="0" distB="0" distL="114300" distR="114300">
            <wp:extent cx="6771640" cy="2190115"/>
            <wp:effectExtent l="0" t="0" r="10160" b="444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7164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供应商在【递交保证金】页面填写【交易日期】，上传【缴纳凭证】后【提交审核】。</w:t>
      </w:r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drawing>
          <wp:inline distT="0" distB="0" distL="114300" distR="114300">
            <wp:extent cx="6779895" cy="3735705"/>
            <wp:effectExtent l="0" t="0" r="1905" b="13335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9895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pStyle w:val="2"/>
        <w:bidi w:val="0"/>
        <w:rPr>
          <w:rFonts w:hint="eastAsia" w:ascii="仿宋" w:hAnsi="仿宋" w:eastAsia="仿宋" w:cs="仿宋"/>
          <w:lang w:val="en-US" w:eastAsia="zh-CN"/>
        </w:rPr>
      </w:pPr>
      <w:bookmarkStart w:id="3" w:name="_Toc27186"/>
      <w:r>
        <w:rPr>
          <w:rFonts w:hint="eastAsia" w:ascii="仿宋" w:hAnsi="仿宋" w:eastAsia="仿宋" w:cs="仿宋"/>
          <w:lang w:val="en-US" w:eastAsia="zh-CN"/>
        </w:rPr>
        <w:t>供应商-投标报价（一次报价）</w:t>
      </w:r>
      <w:bookmarkEnd w:id="3"/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投标供应商须在</w:t>
      </w:r>
      <w:r>
        <w:rPr>
          <w:rFonts w:hint="eastAsia" w:ascii="仿宋" w:hAnsi="仿宋" w:eastAsia="仿宋" w:cs="仿宋"/>
          <w:b/>
          <w:bCs/>
          <w:color w:val="FF0000"/>
          <w:lang w:val="en-US" w:eastAsia="zh-CN"/>
        </w:rPr>
        <w:t>【预计截标/开标时间】前</w:t>
      </w:r>
      <w:r>
        <w:rPr>
          <w:rFonts w:hint="eastAsia" w:ascii="仿宋" w:hAnsi="仿宋" w:eastAsia="仿宋" w:cs="仿宋"/>
          <w:lang w:val="en-US" w:eastAsia="zh-CN"/>
        </w:rPr>
        <w:t>，切至【网上报价】环节，点击【递交报价文件】完成一次报价。</w:t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color w:val="FF0000"/>
          <w:lang w:val="en-US" w:eastAsia="zh-CN"/>
        </w:rPr>
        <w:t>(如超过【预计截标/开标时间】未进行【递交报价文件】操作，将无法参与本次项目投标）</w:t>
      </w:r>
    </w:p>
    <w:p>
      <w:pPr>
        <w:ind w:left="-1039" w:leftChars="-495" w:firstLine="0" w:firstLineChars="0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6713855" cy="1741805"/>
            <wp:effectExtent l="0" t="0" r="6985" b="1079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1385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如供应商参与项目为价格报价且涉及明细报价，仅需在报价页面填写各明细【含税单价】及【税率】。</w:t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color w:val="FF0000"/>
          <w:lang w:val="en-US" w:eastAsia="zh-CN"/>
        </w:rPr>
      </w:pPr>
      <w:r>
        <w:rPr>
          <w:rFonts w:hint="eastAsia" w:ascii="仿宋" w:hAnsi="仿宋" w:eastAsia="仿宋" w:cs="仿宋"/>
          <w:color w:val="FF0000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lang w:val="en-US" w:eastAsia="zh-CN"/>
        </w:rPr>
        <w:t>系统会自动计算【不含税单价】【含税总价】【不含税总价】以及【总报价】等内容，无需填写）</w:t>
      </w:r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此页面，供应商也可使用【导出明细】功能将采购人的采购明细下载至本地，在本地填入【含税单价】和【税率】后通过【导入明细报价】进行批量导入。（</w:t>
      </w:r>
      <w:r>
        <w:rPr>
          <w:rFonts w:hint="eastAsia" w:ascii="仿宋" w:hAnsi="仿宋" w:eastAsia="仿宋" w:cs="仿宋"/>
          <w:color w:val="FF0000"/>
          <w:lang w:val="en-US" w:eastAsia="zh-CN"/>
        </w:rPr>
        <w:t>导入表格中不可包含空格、回车换行符等内容</w:t>
      </w:r>
      <w:r>
        <w:rPr>
          <w:rFonts w:hint="eastAsia" w:ascii="仿宋" w:hAnsi="仿宋" w:eastAsia="仿宋" w:cs="仿宋"/>
          <w:lang w:val="en-US" w:eastAsia="zh-CN"/>
        </w:rPr>
        <w:t>）</w:t>
      </w:r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744335" cy="3683635"/>
            <wp:effectExtent l="0" t="0" r="6985" b="4445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点击【确认】即代表提交报价，报价成功系统会提示递交成功。供应商也可在“开标时间”前【撤销】后修改报价重新提交。</w:t>
      </w:r>
    </w:p>
    <w:p>
      <w:pPr>
        <w:numPr>
          <w:ilvl w:val="0"/>
          <w:numId w:val="0"/>
        </w:num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</w:p>
    <w:p>
      <w:pPr>
        <w:numPr>
          <w:ilvl w:val="0"/>
          <w:numId w:val="0"/>
        </w:num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720840" cy="3487420"/>
            <wp:effectExtent l="0" t="0" r="0" b="2540"/>
            <wp:docPr id="3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bookmarkStart w:id="4" w:name="_Toc22548"/>
      <w:r>
        <w:rPr>
          <w:rFonts w:hint="eastAsia"/>
          <w:lang w:val="en-US" w:eastAsia="zh-CN"/>
        </w:rPr>
        <w:t>供应商-参与谈判</w:t>
      </w:r>
      <w:bookmarkEnd w:id="4"/>
    </w:p>
    <w:p>
      <w:pPr>
        <w:numPr>
          <w:ilvl w:val="0"/>
          <w:numId w:val="0"/>
        </w:numPr>
        <w:ind w:left="-1039" w:leftChars="-495" w:right="0" w:rightChars="0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采购人开启报价后，供应商可在台【报价大厅】环节点击【在线报价】按钮进入报价大厅内。</w:t>
      </w:r>
    </w:p>
    <w:p>
      <w:pPr>
        <w:numPr>
          <w:ilvl w:val="0"/>
          <w:numId w:val="0"/>
        </w:num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6787515" cy="1601470"/>
            <wp:effectExtent l="0" t="0" r="9525" b="13970"/>
            <wp:docPr id="4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8751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在【报价大厅】内，供应商可查看所有参与报价供应商的一次报价情况；</w:t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drawing>
          <wp:inline distT="0" distB="0" distL="114300" distR="114300">
            <wp:extent cx="6657975" cy="2728595"/>
            <wp:effectExtent l="0" t="0" r="1905" b="14605"/>
            <wp:docPr id="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color w:val="0000FF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当采购人发起【在线谈判】邀请时，供应商界面会出现【谈判邀请弹窗】并点击【马上进入】，而后点击【参与谈判】，供应商需在规定时间内完成以上操作。</w:t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6630035" cy="2610485"/>
            <wp:effectExtent l="0" t="0" r="14605" b="10795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00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12560" cy="2064385"/>
            <wp:effectExtent l="0" t="0" r="10160" b="8255"/>
            <wp:docPr id="4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参与谈判后，供应商浏览器顶端会出现“调用摄像头、麦克风、扬声器、共享桌面”等授权请求，必须都点击【允许】，否则谈判过程会出现无画面、无声音等情况。</w:t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（</w:t>
      </w:r>
      <w:r>
        <w:rPr>
          <w:rFonts w:hint="eastAsia" w:ascii="仿宋" w:hAnsi="仿宋" w:eastAsia="仿宋" w:cs="仿宋"/>
          <w:color w:val="FF0000"/>
          <w:lang w:val="en-US" w:eastAsia="zh-CN"/>
        </w:rPr>
        <w:t>如第一次未操作成功，可直接关掉浏览器，重复以上操作</w:t>
      </w:r>
      <w:r>
        <w:rPr>
          <w:rFonts w:hint="eastAsia" w:ascii="仿宋" w:hAnsi="仿宋" w:eastAsia="仿宋" w:cs="仿宋"/>
          <w:lang w:val="en-US" w:eastAsia="zh-CN"/>
        </w:rPr>
        <w:t>）</w:t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38595" cy="1720215"/>
            <wp:effectExtent l="0" t="0" r="14605" b="1905"/>
            <wp:docPr id="4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80505" cy="1861820"/>
            <wp:effectExtent l="0" t="0" r="3175" b="12700"/>
            <wp:docPr id="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8050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  <w:color w:val="FF0000"/>
          <w:lang w:val="en-US" w:eastAsia="zh-CN"/>
        </w:rPr>
      </w:pPr>
      <w:r>
        <w:rPr>
          <w:rFonts w:hint="eastAsia" w:ascii="仿宋" w:hAnsi="仿宋" w:eastAsia="仿宋" w:cs="仿宋"/>
          <w:color w:val="FF0000"/>
          <w:lang w:val="en-US" w:eastAsia="zh-CN"/>
        </w:rPr>
        <w:t>允许分享桌面时，需先点击【整个屏幕】，再选中“共享区域”，最后点击【分享】按钮。</w:t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86220" cy="2755900"/>
            <wp:effectExtent l="0" t="0" r="12700" b="2540"/>
            <wp:docPr id="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8622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45580" cy="2738755"/>
            <wp:effectExtent l="0" t="0" r="7620" b="4445"/>
            <wp:docPr id="3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4558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5" w:name="_Toc8578"/>
      <w:r>
        <w:rPr>
          <w:rFonts w:hint="eastAsia"/>
          <w:lang w:val="en-US" w:eastAsia="zh-CN"/>
        </w:rPr>
        <w:t>供应商-参与二次报价</w:t>
      </w:r>
      <w:bookmarkEnd w:id="5"/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当采购人发起【二次报价】时，供应商界面会出现【报价邀请】弹窗，需在规定时间内点击【参与报价】并完成二次报价。</w:t>
      </w:r>
    </w:p>
    <w:p>
      <w:pPr>
        <w:numPr>
          <w:ilvl w:val="0"/>
          <w:numId w:val="0"/>
        </w:num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color w:val="FF0000"/>
          <w:lang w:val="en-US" w:eastAsia="zh-CN"/>
        </w:rPr>
        <w:t>（特别注意：如未在规定时间内完成二次报价，系统将判断为放弃本次投标，一次报价也将作废不沿用）</w:t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600825" cy="2988945"/>
            <wp:effectExtent l="0" t="0" r="13335" b="13335"/>
            <wp:docPr id="4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47485" cy="3443605"/>
            <wp:effectExtent l="0" t="0" r="5715" b="635"/>
            <wp:docPr id="4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47485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97650" cy="2511425"/>
            <wp:effectExtent l="0" t="0" r="1270" b="3175"/>
            <wp:docPr id="4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9765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588125" cy="3465195"/>
            <wp:effectExtent l="0" t="0" r="10795" b="9525"/>
            <wp:docPr id="4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88125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6" w:name="_Toc31591"/>
      <w:r>
        <w:rPr>
          <w:rFonts w:hint="eastAsia"/>
          <w:lang w:val="en-US" w:eastAsia="zh-CN"/>
        </w:rPr>
        <w:t>供应商-签章/签字</w:t>
      </w:r>
      <w:bookmarkEnd w:id="6"/>
    </w:p>
    <w:p>
      <w:pPr>
        <w:ind w:left="-1039" w:leftChars="-495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当采购人内部签字工作完成且</w:t>
      </w:r>
      <w:r>
        <w:rPr>
          <w:rFonts w:hint="eastAsia" w:ascii="仿宋" w:hAnsi="仿宋" w:eastAsia="仿宋" w:cs="仿宋"/>
          <w:b/>
          <w:bCs/>
          <w:color w:val="FF0000"/>
          <w:lang w:val="en-US" w:eastAsia="zh-CN"/>
        </w:rPr>
        <w:t>审批通过</w:t>
      </w:r>
      <w:r>
        <w:rPr>
          <w:rFonts w:hint="eastAsia" w:ascii="仿宋" w:hAnsi="仿宋" w:eastAsia="仿宋" w:cs="仿宋"/>
          <w:lang w:val="en-US" w:eastAsia="zh-CN"/>
        </w:rPr>
        <w:t>后，供应商登录采招平台，进入标段工作台在【报价大厅】环节点击【谈判结果文件签字】按钮查看已收到的文件。</w:t>
      </w:r>
    </w:p>
    <w:p>
      <w:p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668135" cy="2917825"/>
            <wp:effectExtent l="0" t="0" r="6985" b="8255"/>
            <wp:docPr id="4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6813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供应商在谈判结果文件签章页面，点击【</w:t>
      </w:r>
      <w:r>
        <w:rPr>
          <w:rFonts w:hint="eastAsia" w:ascii="仿宋" w:hAnsi="仿宋" w:eastAsia="仿宋" w:cs="仿宋"/>
          <w:color w:val="FF0000"/>
          <w:lang w:val="en-US" w:eastAsia="zh-CN"/>
        </w:rPr>
        <w:t>签章(电签)</w:t>
      </w:r>
      <w:r>
        <w:rPr>
          <w:rFonts w:hint="eastAsia" w:ascii="仿宋" w:hAnsi="仿宋" w:eastAsia="仿宋" w:cs="仿宋"/>
          <w:lang w:val="en-US" w:eastAsia="zh-CN"/>
        </w:rPr>
        <w:t>】 ，系统发送签章短信，按短信指引“</w:t>
      </w:r>
      <w:r>
        <w:rPr>
          <w:rFonts w:hint="eastAsia" w:ascii="仿宋" w:hAnsi="仿宋" w:eastAsia="仿宋" w:cs="仿宋"/>
          <w:color w:val="FF0000"/>
          <w:lang w:val="en-US" w:eastAsia="zh-CN"/>
        </w:rPr>
        <w:t>认证企业</w:t>
      </w:r>
      <w:r>
        <w:rPr>
          <w:rFonts w:hint="eastAsia" w:ascii="仿宋" w:hAnsi="仿宋" w:eastAsia="仿宋" w:cs="仿宋"/>
          <w:lang w:val="en-US" w:eastAsia="zh-CN"/>
        </w:rPr>
        <w:t>”并</w:t>
      </w:r>
      <w:r>
        <w:rPr>
          <w:rFonts w:hint="eastAsia" w:ascii="仿宋" w:hAnsi="仿宋" w:eastAsia="仿宋" w:cs="仿宋"/>
          <w:b/>
          <w:bCs/>
          <w:color w:val="FF0000"/>
          <w:lang w:val="en-US" w:eastAsia="zh-CN"/>
        </w:rPr>
        <w:t>加盖企业公章</w:t>
      </w:r>
      <w:r>
        <w:rPr>
          <w:rFonts w:hint="eastAsia" w:ascii="仿宋" w:hAnsi="仿宋" w:eastAsia="仿宋" w:cs="仿宋"/>
          <w:lang w:val="en-US" w:eastAsia="zh-CN"/>
        </w:rPr>
        <w:t>；</w:t>
      </w:r>
    </w:p>
    <w:p>
      <w:pPr>
        <w:ind w:left="-1039" w:leftChars="-495" w:right="-19" w:rightChars="-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点击【</w:t>
      </w:r>
      <w:r>
        <w:rPr>
          <w:rFonts w:hint="eastAsia" w:ascii="仿宋" w:hAnsi="仿宋" w:eastAsia="仿宋" w:cs="仿宋"/>
          <w:color w:val="FF0000"/>
          <w:lang w:val="en-US" w:eastAsia="zh-CN"/>
        </w:rPr>
        <w:t>签字</w:t>
      </w:r>
      <w:r>
        <w:rPr>
          <w:rFonts w:hint="eastAsia" w:ascii="仿宋" w:hAnsi="仿宋" w:eastAsia="仿宋" w:cs="仿宋"/>
          <w:lang w:val="en-US" w:eastAsia="zh-CN"/>
        </w:rPr>
        <w:t>】，系统发送签字短信，可</w:t>
      </w:r>
      <w:r>
        <w:rPr>
          <w:rFonts w:hint="eastAsia" w:ascii="仿宋" w:hAnsi="仿宋" w:eastAsia="仿宋" w:cs="仿宋"/>
          <w:color w:val="FF0000"/>
          <w:lang w:val="en-US" w:eastAsia="zh-CN"/>
        </w:rPr>
        <w:t>实名认证个人</w:t>
      </w:r>
      <w:r>
        <w:rPr>
          <w:rFonts w:hint="eastAsia" w:ascii="仿宋" w:hAnsi="仿宋" w:eastAsia="仿宋" w:cs="仿宋"/>
          <w:lang w:val="en-US" w:eastAsia="zh-CN"/>
        </w:rPr>
        <w:t>并</w:t>
      </w:r>
      <w:r>
        <w:rPr>
          <w:rFonts w:hint="eastAsia" w:ascii="仿宋" w:hAnsi="仿宋" w:eastAsia="仿宋" w:cs="仿宋"/>
          <w:color w:val="FF0000"/>
          <w:lang w:val="en-US" w:eastAsia="zh-CN"/>
        </w:rPr>
        <w:t>签署个人签字</w:t>
      </w:r>
      <w:r>
        <w:rPr>
          <w:rFonts w:hint="eastAsia" w:ascii="仿宋" w:hAnsi="仿宋" w:eastAsia="仿宋" w:cs="仿宋"/>
          <w:lang w:val="en-US" w:eastAsia="zh-CN"/>
        </w:rPr>
        <w:t>；（</w:t>
      </w:r>
      <w:r>
        <w:rPr>
          <w:rFonts w:hint="eastAsia" w:ascii="仿宋" w:hAnsi="仿宋" w:eastAsia="仿宋" w:cs="仿宋"/>
          <w:b/>
          <w:bCs/>
          <w:lang w:val="en-US" w:eastAsia="zh-CN"/>
        </w:rPr>
        <w:t>如采购人内部签字时要求供应商必须签公章，则无此按钮</w:t>
      </w:r>
      <w:r>
        <w:rPr>
          <w:rFonts w:hint="eastAsia" w:ascii="仿宋" w:hAnsi="仿宋" w:eastAsia="仿宋" w:cs="仿宋"/>
          <w:lang w:val="en-US" w:eastAsia="zh-CN"/>
        </w:rPr>
        <w:t>）</w:t>
      </w:r>
    </w:p>
    <w:p>
      <w:pPr>
        <w:ind w:left="-1039" w:leftChars="-495" w:right="-19" w:rightChars="-9" w:firstLine="0" w:firstLineChars="0"/>
        <w:jc w:val="left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点击【签字(Ukey)】则需办理CA锁，CA插入电脑进行签章或签字。（大多数供应商不具备此条件，可忽略）</w:t>
      </w:r>
    </w:p>
    <w:p>
      <w:pPr>
        <w:numPr>
          <w:ilvl w:val="0"/>
          <w:numId w:val="0"/>
        </w:numPr>
        <w:ind w:left="-1039" w:leftChars="-495" w:right="-1153" w:rightChars="-549"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6746240" cy="1570990"/>
            <wp:effectExtent l="0" t="0" r="5080" b="13970"/>
            <wp:docPr id="4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4624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86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C64002"/>
    <w:multiLevelType w:val="multilevel"/>
    <w:tmpl w:val="71C6400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xNmQ3ZWIzNTJiNzNiYzI1NDY2MmI1MjUyMzBkNzYifQ=="/>
  </w:docVars>
  <w:rsids>
    <w:rsidRoot w:val="00000000"/>
    <w:rsid w:val="0E2055ED"/>
    <w:rsid w:val="1AF22447"/>
    <w:rsid w:val="21E5472C"/>
    <w:rsid w:val="4F3D198B"/>
    <w:rsid w:val="62911B98"/>
    <w:rsid w:val="6600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2023-07-05T01:51:00Z</dcterms:created>
  <dc:creator>张加影</dc:creator>
  <cp:lastModifiedBy>佳影咯</cp:lastModifiedBy>
  <dcterms:modified xsi:type="dcterms:W3CDTF">2024-03-21T07:11:05Z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570C6F46AF7649D984F3494AC9B1C60A_12</vt:lpwstr>
  </property>
</Properties>
</file>