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7491E">
      <w:pPr>
        <w:widowControl/>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蒙牛乳业冰品清远工厂外加工件集中采购项目</w:t>
      </w:r>
    </w:p>
    <w:p w14:paraId="0AFD4C3A">
      <w:pPr>
        <w:widowControl/>
        <w:spacing w:line="360" w:lineRule="auto"/>
        <w:jc w:val="center"/>
        <w:rPr>
          <w:rFonts w:ascii="仿宋" w:hAnsi="仿宋" w:eastAsia="仿宋" w:cs="仿宋"/>
          <w:sz w:val="36"/>
          <w:szCs w:val="36"/>
        </w:rPr>
      </w:pPr>
      <w:r>
        <w:rPr>
          <w:rFonts w:hint="eastAsia" w:ascii="仿宋" w:hAnsi="仿宋" w:eastAsia="仿宋" w:cs="仿宋"/>
          <w:b/>
          <w:bCs/>
          <w:kern w:val="0"/>
          <w:sz w:val="36"/>
          <w:szCs w:val="36"/>
        </w:rPr>
        <w:t>询比价信息公告</w:t>
      </w:r>
    </w:p>
    <w:p w14:paraId="71228D95">
      <w:pPr>
        <w:widowControl/>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w:t>
      </w:r>
      <w:r>
        <w:rPr>
          <w:rFonts w:hint="eastAsia" w:ascii="仿宋" w:hAnsi="仿宋" w:eastAsia="仿宋" w:cs="仿宋"/>
          <w:sz w:val="28"/>
          <w:szCs w:val="28"/>
          <w:lang w:eastAsia="zh-Hans"/>
        </w:rPr>
        <w:t>现</w:t>
      </w:r>
      <w:r>
        <w:rPr>
          <w:rFonts w:hint="eastAsia" w:ascii="仿宋" w:hAnsi="仿宋" w:eastAsia="仿宋" w:cs="仿宋"/>
          <w:sz w:val="28"/>
          <w:szCs w:val="28"/>
        </w:rPr>
        <w:t>就蒙牛乳业冰品清远工厂外加工件集中采购项目进行询比价,欢迎符合资格条件的供应商参加。</w:t>
      </w:r>
    </w:p>
    <w:p w14:paraId="0A1BB63A">
      <w:pPr>
        <w:pStyle w:val="23"/>
        <w:adjustRightInd w:val="0"/>
        <w:snapToGrid w:val="0"/>
        <w:spacing w:line="360" w:lineRule="auto"/>
        <w:ind w:left="551" w:firstLine="0" w:firstLineChars="0"/>
        <w:rPr>
          <w:rFonts w:ascii="仿宋" w:hAnsi="仿宋" w:eastAsia="仿宋" w:cs="仿宋"/>
          <w:b w:val="0"/>
          <w:bCs/>
          <w:i w:val="0"/>
          <w:iCs w:val="0"/>
          <w:kern w:val="0"/>
          <w:sz w:val="28"/>
          <w:szCs w:val="28"/>
        </w:rPr>
      </w:pPr>
      <w:r>
        <w:rPr>
          <w:rFonts w:hint="eastAsia" w:ascii="仿宋" w:hAnsi="仿宋" w:eastAsia="仿宋" w:cs="仿宋"/>
          <w:b/>
          <w:kern w:val="0"/>
          <w:sz w:val="28"/>
          <w:szCs w:val="28"/>
        </w:rPr>
        <w:t>一、项目编号：</w:t>
      </w:r>
      <w:r>
        <w:rPr>
          <w:rFonts w:ascii="仿宋" w:hAnsi="仿宋" w:eastAsia="仿宋" w:cs="仿宋"/>
          <w:b w:val="0"/>
          <w:bCs/>
          <w:i w:val="0"/>
          <w:iCs w:val="0"/>
          <w:kern w:val="0"/>
          <w:sz w:val="28"/>
          <w:szCs w:val="28"/>
        </w:rPr>
        <w:t>MNCGJH-20240808-0010</w:t>
      </w:r>
    </w:p>
    <w:p w14:paraId="0A13D4FF">
      <w:pPr>
        <w:widowControl/>
        <w:numPr>
          <w:ilvl w:val="0"/>
          <w:numId w:val="1"/>
        </w:numPr>
        <w:shd w:val="clear" w:color="auto" w:fill="FFFFFF"/>
        <w:adjustRightInd w:val="0"/>
        <w:snapToGrid w:val="0"/>
        <w:spacing w:line="360" w:lineRule="auto"/>
        <w:ind w:firstLine="590"/>
        <w:rPr>
          <w:rFonts w:ascii="仿宋" w:hAnsi="仿宋" w:eastAsia="仿宋" w:cs="仿宋"/>
          <w:sz w:val="28"/>
          <w:szCs w:val="28"/>
        </w:rPr>
      </w:pPr>
      <w:r>
        <w:rPr>
          <w:rFonts w:hint="eastAsia" w:ascii="仿宋" w:hAnsi="仿宋" w:eastAsia="仿宋" w:cs="仿宋"/>
          <w:b/>
          <w:kern w:val="0"/>
          <w:sz w:val="28"/>
          <w:szCs w:val="28"/>
        </w:rPr>
        <w:t>项目名称：</w:t>
      </w:r>
      <w:r>
        <w:rPr>
          <w:rFonts w:hint="eastAsia" w:ascii="仿宋" w:hAnsi="仿宋" w:eastAsia="仿宋" w:cs="仿宋"/>
          <w:bCs/>
          <w:kern w:val="0"/>
          <w:sz w:val="28"/>
          <w:szCs w:val="28"/>
        </w:rPr>
        <w:t>蒙牛乳业冰品清远工厂外加工件集中采购项目</w:t>
      </w:r>
    </w:p>
    <w:p w14:paraId="7BB3F7C4">
      <w:pPr>
        <w:widowControl/>
        <w:numPr>
          <w:ilvl w:val="0"/>
          <w:numId w:val="1"/>
        </w:numPr>
        <w:shd w:val="clear" w:color="auto" w:fill="FFFFFF"/>
        <w:adjustRightInd w:val="0"/>
        <w:snapToGrid w:val="0"/>
        <w:spacing w:line="360" w:lineRule="auto"/>
        <w:ind w:firstLine="551" w:firstLineChars="196"/>
        <w:rPr>
          <w:rFonts w:ascii="仿宋" w:hAnsi="仿宋" w:eastAsia="仿宋" w:cs="仿宋"/>
          <w:sz w:val="28"/>
          <w:szCs w:val="28"/>
        </w:rPr>
      </w:pPr>
      <w:r>
        <w:rPr>
          <w:rFonts w:hint="eastAsia" w:ascii="仿宋" w:hAnsi="仿宋" w:eastAsia="仿宋" w:cs="仿宋"/>
          <w:b/>
          <w:kern w:val="0"/>
          <w:sz w:val="28"/>
          <w:szCs w:val="28"/>
        </w:rPr>
        <w:t>项目概况：</w:t>
      </w:r>
    </w:p>
    <w:p w14:paraId="01DCACBE">
      <w:pPr>
        <w:widowControl/>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为了满足蒙牛乳业清远工厂大院各工厂维修和改造工作正常开展，在生产过程中需要采购加工货修复非标件来满足生产需求，故对该类备件开展询比价。</w:t>
      </w:r>
    </w:p>
    <w:p w14:paraId="10F62DF8">
      <w:pPr>
        <w:adjustRightInd w:val="0"/>
        <w:snapToGrid w:val="0"/>
        <w:spacing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四、资格要求：</w:t>
      </w:r>
    </w:p>
    <w:p w14:paraId="751CDA00">
      <w:pPr>
        <w:pStyle w:val="3"/>
        <w:ind w:firstLine="560"/>
        <w:rPr>
          <w:color w:val="C00000"/>
          <w:sz w:val="28"/>
          <w:szCs w:val="28"/>
          <w:highlight w:val="cyan"/>
        </w:rPr>
      </w:pPr>
      <w:r>
        <w:rPr>
          <w:rFonts w:hint="eastAsia"/>
          <w:sz w:val="28"/>
          <w:szCs w:val="28"/>
        </w:rPr>
        <w:t>1、供应商必须是在中华人民共和国境内注册的具有独立法人资格的企业单位；</w:t>
      </w:r>
    </w:p>
    <w:p w14:paraId="435EFD05">
      <w:pPr>
        <w:pStyle w:val="3"/>
        <w:ind w:firstLine="560"/>
        <w:rPr>
          <w:sz w:val="28"/>
          <w:szCs w:val="28"/>
        </w:rPr>
      </w:pPr>
      <w:r>
        <w:rPr>
          <w:rFonts w:hint="eastAsia"/>
          <w:sz w:val="28"/>
          <w:szCs w:val="28"/>
          <w:highlight w:val="none"/>
        </w:rPr>
        <w:t>2、供应商须为具有生产制造工厂或经营销售场所的实体单位，具备项目所在地加工能力；</w:t>
      </w:r>
    </w:p>
    <w:p w14:paraId="77C40FE6">
      <w:pPr>
        <w:pStyle w:val="3"/>
        <w:ind w:firstLine="560"/>
        <w:rPr>
          <w:sz w:val="28"/>
          <w:szCs w:val="28"/>
        </w:rPr>
      </w:pPr>
      <w:r>
        <w:rPr>
          <w:rFonts w:hint="eastAsia"/>
          <w:sz w:val="28"/>
          <w:szCs w:val="28"/>
        </w:rPr>
        <w:t>3、供应商须具是一般纳税人，且能开具13%增值税发票；</w:t>
      </w:r>
    </w:p>
    <w:p w14:paraId="6C8DCFF9">
      <w:pPr>
        <w:pStyle w:val="3"/>
        <w:ind w:firstLine="560"/>
        <w:rPr>
          <w:sz w:val="28"/>
          <w:szCs w:val="28"/>
        </w:rPr>
      </w:pPr>
      <w:r>
        <w:rPr>
          <w:rFonts w:hint="eastAsia"/>
          <w:sz w:val="28"/>
          <w:szCs w:val="28"/>
        </w:rPr>
        <w:t>4、供应商须具有最近1年任意3个月的依法纳税缴纳证明材料和社保缴纳证明材料；</w:t>
      </w:r>
    </w:p>
    <w:p w14:paraId="3A79691F">
      <w:pPr>
        <w:pStyle w:val="3"/>
        <w:ind w:firstLine="560"/>
        <w:rPr>
          <w:sz w:val="28"/>
          <w:szCs w:val="28"/>
        </w:rPr>
      </w:pPr>
      <w:r>
        <w:rPr>
          <w:rFonts w:hint="eastAsia"/>
          <w:sz w:val="28"/>
          <w:szCs w:val="28"/>
        </w:rPr>
        <w:t>5、供应商须具有开户行许可证或基本存款账户信息；</w:t>
      </w:r>
    </w:p>
    <w:p w14:paraId="7E8099A7">
      <w:pPr>
        <w:pStyle w:val="3"/>
        <w:ind w:firstLine="560"/>
        <w:rPr>
          <w:sz w:val="28"/>
          <w:szCs w:val="28"/>
        </w:rPr>
      </w:pPr>
      <w:r>
        <w:rPr>
          <w:rFonts w:hint="eastAsia"/>
          <w:sz w:val="28"/>
          <w:szCs w:val="28"/>
        </w:rPr>
        <w:t>6、本项目供应商需具有</w:t>
      </w:r>
      <w:r>
        <w:rPr>
          <w:rFonts w:hint="eastAsia"/>
          <w:color w:val="000000"/>
          <w:sz w:val="28"/>
          <w:szCs w:val="28"/>
        </w:rPr>
        <w:t>2021、2022、2023</w:t>
      </w:r>
      <w:r>
        <w:rPr>
          <w:rFonts w:hint="eastAsia"/>
          <w:sz w:val="28"/>
          <w:szCs w:val="28"/>
        </w:rPr>
        <w:t>各年度每年一份类似业绩的证明材料，以双方盖章的合同为准（合同需包含清单，以合同签订日期或起始日期为准）；</w:t>
      </w:r>
    </w:p>
    <w:p w14:paraId="27D95A92">
      <w:pPr>
        <w:pStyle w:val="3"/>
        <w:ind w:firstLine="560"/>
        <w:rPr>
          <w:sz w:val="28"/>
          <w:szCs w:val="28"/>
        </w:rPr>
      </w:pPr>
      <w:r>
        <w:rPr>
          <w:rFonts w:hint="eastAsia"/>
          <w:sz w:val="28"/>
          <w:szCs w:val="28"/>
        </w:rPr>
        <w:t>7、供应商具有2023年第三方财务审计报告或财务报表；</w:t>
      </w:r>
    </w:p>
    <w:p w14:paraId="260C8BA2">
      <w:pPr>
        <w:pStyle w:val="3"/>
        <w:ind w:firstLine="560"/>
        <w:rPr>
          <w:sz w:val="28"/>
          <w:szCs w:val="28"/>
        </w:rPr>
      </w:pPr>
      <w:r>
        <w:rPr>
          <w:rFonts w:hint="eastAsia"/>
          <w:sz w:val="28"/>
          <w:szCs w:val="28"/>
        </w:rPr>
        <w:t>8、供应商未被列入国家企业信用信息公示系统（http://www.gsxt.gov.cn/index.html）严重违法失信企业名单；</w:t>
      </w:r>
    </w:p>
    <w:p w14:paraId="31258152">
      <w:pPr>
        <w:pStyle w:val="3"/>
        <w:ind w:firstLine="560"/>
        <w:rPr>
          <w:sz w:val="28"/>
          <w:szCs w:val="28"/>
        </w:rPr>
      </w:pPr>
      <w:r>
        <w:rPr>
          <w:rFonts w:hint="eastAsia"/>
          <w:sz w:val="28"/>
          <w:szCs w:val="28"/>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供应商参与竞谈；</w:t>
      </w:r>
    </w:p>
    <w:p w14:paraId="39135882">
      <w:pPr>
        <w:pStyle w:val="3"/>
        <w:ind w:firstLine="560"/>
        <w:rPr>
          <w:sz w:val="28"/>
          <w:szCs w:val="28"/>
        </w:rPr>
      </w:pPr>
      <w:r>
        <w:rPr>
          <w:rFonts w:hint="eastAsia"/>
          <w:sz w:val="28"/>
          <w:szCs w:val="28"/>
        </w:rPr>
        <w:t>10、本次竞谈不接受联合体竞谈，不允许分包和转包；</w:t>
      </w:r>
    </w:p>
    <w:p w14:paraId="6A40BB38">
      <w:pPr>
        <w:pStyle w:val="3"/>
        <w:ind w:firstLine="560"/>
        <w:rPr>
          <w:sz w:val="28"/>
          <w:szCs w:val="28"/>
        </w:rPr>
      </w:pPr>
      <w:r>
        <w:rPr>
          <w:rFonts w:hint="eastAsia"/>
          <w:sz w:val="28"/>
          <w:szCs w:val="28"/>
        </w:rPr>
        <w:t>11、不接受中粮及蒙牛供应商黑名单（</w:t>
      </w:r>
      <w:r>
        <w:rPr>
          <w:rFonts w:hint="eastAsia"/>
          <w:bCs/>
          <w:color w:val="000000"/>
          <w:sz w:val="28"/>
          <w:szCs w:val="28"/>
        </w:rPr>
        <w:t>以蒙牛集团采购招标管理部下发的黑名单为准</w:t>
      </w:r>
      <w:r>
        <w:rPr>
          <w:rFonts w:hint="eastAsia"/>
          <w:sz w:val="28"/>
          <w:szCs w:val="28"/>
        </w:rPr>
        <w:t>）的企业参与竞争。</w:t>
      </w:r>
    </w:p>
    <w:p w14:paraId="064C9D9D">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kern w:val="0"/>
          <w:sz w:val="28"/>
          <w:szCs w:val="28"/>
        </w:rPr>
        <w:t>五、</w:t>
      </w:r>
      <w:r>
        <w:rPr>
          <w:rFonts w:hint="eastAsia" w:ascii="仿宋" w:hAnsi="仿宋" w:eastAsia="仿宋" w:cs="仿宋"/>
          <w:b/>
          <w:sz w:val="28"/>
          <w:szCs w:val="28"/>
        </w:rPr>
        <w:t>报名须知</w:t>
      </w:r>
    </w:p>
    <w:p w14:paraId="4C016547">
      <w:pPr>
        <w:adjustRightInd w:val="0"/>
        <w:snapToGrid w:val="0"/>
        <w:spacing w:line="360" w:lineRule="auto"/>
        <w:ind w:firstLine="560" w:firstLineChars="200"/>
        <w:jc w:val="left"/>
        <w:rPr>
          <w:rFonts w:ascii="仿宋" w:hAnsi="仿宋" w:eastAsia="仿宋" w:cs="仿宋"/>
          <w:sz w:val="28"/>
          <w:szCs w:val="28"/>
        </w:rPr>
      </w:pPr>
      <w:bookmarkStart w:id="0" w:name="_GoBack"/>
      <w:r>
        <w:rPr>
          <w:rFonts w:hint="eastAsia" w:ascii="仿宋" w:hAnsi="仿宋" w:eastAsia="仿宋" w:cs="仿宋"/>
          <w:sz w:val="28"/>
          <w:szCs w:val="28"/>
        </w:rPr>
        <w:t>1、</w:t>
      </w:r>
      <w:r>
        <w:rPr>
          <w:rFonts w:hint="eastAsia" w:ascii="仿宋" w:hAnsi="仿宋" w:eastAsia="仿宋" w:cs="仿宋"/>
          <w:color w:val="000000"/>
          <w:sz w:val="28"/>
          <w:szCs w:val="28"/>
        </w:rPr>
        <w:t>报名资格文件的</w:t>
      </w:r>
      <w:r>
        <w:rPr>
          <w:rFonts w:hint="eastAsia" w:ascii="仿宋" w:hAnsi="仿宋" w:eastAsia="仿宋" w:cs="仿宋"/>
          <w:color w:val="000000"/>
          <w:sz w:val="28"/>
          <w:szCs w:val="28"/>
          <w:u w:val="single"/>
        </w:rPr>
        <w:t>组成及顺序</w:t>
      </w:r>
      <w:r>
        <w:rPr>
          <w:rFonts w:hint="eastAsia" w:ascii="仿宋" w:hAnsi="仿宋" w:eastAsia="仿宋" w:cs="仿宋"/>
          <w:color w:val="000000"/>
          <w:sz w:val="28"/>
          <w:szCs w:val="28"/>
        </w:rPr>
        <w:t>按照如下要求提供</w:t>
      </w:r>
      <w:r>
        <w:rPr>
          <w:rFonts w:hint="eastAsia" w:ascii="仿宋" w:hAnsi="仿宋" w:eastAsia="仿宋" w:cs="仿宋"/>
          <w:sz w:val="28"/>
          <w:szCs w:val="28"/>
        </w:rPr>
        <w:t>：</w:t>
      </w:r>
    </w:p>
    <w:p w14:paraId="760D026B">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（1）提供有效的营业执照（副本）；</w:t>
      </w:r>
    </w:p>
    <w:p w14:paraId="7F0ABC87">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（2）法定代表人证明书或授权委托书原件；</w:t>
      </w:r>
    </w:p>
    <w:p w14:paraId="5BB826C0">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备注：法定代表人须上传法人证明材料及身份证扫描件，若为被授权人须上传一份法人授权委托书和身份证扫描件及被授权委托人近一年内在本单位的社保证明材料；</w:t>
      </w:r>
    </w:p>
    <w:p w14:paraId="0947611C">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（3）提供生产能力或加工能力的承诺书以及本地所在的房产证或仓库租赁合同；</w:t>
      </w:r>
    </w:p>
    <w:p w14:paraId="3083552B">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（4）提供开具13 %增值税发票资格的证明材料及一般纳税人认定资格证明材料（一般纳税人证明、一张开具含有13%增值税的发票）；</w:t>
      </w:r>
    </w:p>
    <w:p w14:paraId="644AEB97">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（5）提供企业最近1年任意3个月的依法纳税证明材料和社保缴纳证明材料；</w:t>
      </w:r>
    </w:p>
    <w:p w14:paraId="2D5801CD">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（6）提供开户行许可证或基本存款账户信息；</w:t>
      </w:r>
    </w:p>
    <w:p w14:paraId="13E35BAC">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（7）提供2021、2022、2023各年度每年一份类似业绩的证明材料，以双方盖章的合同为准（合同需包含清单，以合同签订日期或起始日期为准）；</w:t>
      </w:r>
    </w:p>
    <w:p w14:paraId="7B162C3F">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8）提供本企业2023年第三方财务审计报告或财务报表（包含但不限于“资产负债表、利润表、现金流量表”；如提供年度财务报表则需同时提供税务系统线上截图或盖当地税务局公章的年度增值税纳税申报表）；</w:t>
      </w:r>
    </w:p>
    <w:p w14:paraId="1B42A8A1">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（9）提供本企业未被列入国家企业信用信息公示系统（http://www.gsxt.gov.cn/index.html）严重违法失信企业名单的证明材料；</w:t>
      </w:r>
    </w:p>
    <w:p w14:paraId="41BC3031">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（10）保密承诺书（附件2）；</w:t>
      </w:r>
    </w:p>
    <w:p w14:paraId="31AA0A3E">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bCs/>
          <w:sz w:val="28"/>
          <w:szCs w:val="28"/>
        </w:rPr>
        <w:t>提供非联合体形式参与及如中标本项目不进行分包或转包承诺书。</w:t>
      </w:r>
    </w:p>
    <w:p w14:paraId="62A25C12">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）”进行线上提交，进行资格审查（过期提交不予受理），审查合格后方可下载询价单（仅作为发放询价单的依据）。                         </w:t>
      </w:r>
    </w:p>
    <w:p w14:paraId="7FD3A9C8">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资料提供不全或者未按时间要求提报的将被拒绝接收，所提供的资质、业绩文件中如有虚假情况，一经发现将被取消询价资格。</w:t>
      </w:r>
    </w:p>
    <w:p w14:paraId="2F8375E5">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供应商自</w:t>
      </w:r>
      <w:r>
        <w:rPr>
          <w:rFonts w:hint="eastAsia" w:ascii="仿宋" w:hAnsi="仿宋" w:eastAsia="仿宋" w:cs="仿宋"/>
          <w:sz w:val="28"/>
          <w:szCs w:val="28"/>
        </w:rPr>
        <w:t>收到询价单</w:t>
      </w:r>
      <w:r>
        <w:rPr>
          <w:rFonts w:hint="eastAsia" w:ascii="仿宋" w:hAnsi="仿宋" w:eastAsia="仿宋" w:cs="仿宋"/>
          <w:color w:val="000000"/>
          <w:sz w:val="28"/>
          <w:szCs w:val="28"/>
        </w:rPr>
        <w:t>之日起，应确保其向采购方或采购代理机构提供的通讯手段（电话、邮箱）一直有效，以保证往来函件能及时传达并及时反馈信息，否则由此引起的一切后果由供应商承担。</w:t>
      </w:r>
    </w:p>
    <w:p w14:paraId="76194AE4">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2、报名方式：</w:t>
      </w:r>
    </w:p>
    <w:p w14:paraId="4E2271BD">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潜在供应商依据资格要求自主评估，符合条件的登录“蒙牛集团电子采购招标平台”进行网上报名、资格验证、获得询价单、澄清答疑和参与询价会等，过程中如有疑问可咨询平台服务支持，电话4008108111或咨询采购方业务咨询联系人。</w:t>
      </w:r>
    </w:p>
    <w:p w14:paraId="78A7FDC8">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bookmarkEnd w:id="0"/>
    </w:p>
    <w:p w14:paraId="2D239C25">
      <w:pPr>
        <w:adjustRightInd w:val="0"/>
        <w:snapToGrid w:val="0"/>
        <w:spacing w:line="360" w:lineRule="auto"/>
        <w:ind w:firstLine="562" w:firstLineChars="200"/>
        <w:jc w:val="left"/>
        <w:rPr>
          <w:rFonts w:ascii="仿宋" w:hAnsi="仿宋" w:eastAsia="仿宋" w:cs="仿宋"/>
          <w:b/>
          <w:kern w:val="0"/>
          <w:sz w:val="28"/>
          <w:szCs w:val="28"/>
        </w:rPr>
      </w:pPr>
      <w:r>
        <w:rPr>
          <w:rFonts w:hint="eastAsia" w:ascii="仿宋" w:hAnsi="仿宋" w:eastAsia="仿宋" w:cs="仿宋"/>
          <w:b/>
          <w:sz w:val="28"/>
          <w:szCs w:val="28"/>
        </w:rPr>
        <w:t>六、</w:t>
      </w:r>
      <w:r>
        <w:rPr>
          <w:rFonts w:hint="eastAsia" w:ascii="仿宋" w:hAnsi="仿宋" w:eastAsia="仿宋" w:cs="仿宋"/>
          <w:b/>
          <w:kern w:val="0"/>
          <w:sz w:val="28"/>
          <w:szCs w:val="28"/>
        </w:rPr>
        <w:t>项目时间安排及要求：</w:t>
      </w:r>
    </w:p>
    <w:p w14:paraId="7A1885C4">
      <w:pPr>
        <w:pStyle w:val="5"/>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1、报名时间：2024年08月23日至2024年08月27日；</w:t>
      </w:r>
    </w:p>
    <w:p w14:paraId="552812A8">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2、资格预审时间：2024年08月23日至2024年08月29日17时；</w:t>
      </w:r>
    </w:p>
    <w:p w14:paraId="798ED4EC">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3、询价单发放时间：2024年08月30日至2024年09月01日19时发放询价单；</w:t>
      </w:r>
    </w:p>
    <w:p w14:paraId="608DBC42">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highlight w:val="none"/>
        </w:rPr>
        <w:t>4、询比价时间：2024年09月10日09时30分（以发出的询价单为准）</w:t>
      </w:r>
    </w:p>
    <w:p w14:paraId="628190EC">
      <w:pPr>
        <w:spacing w:line="360" w:lineRule="auto"/>
        <w:ind w:firstLine="562" w:firstLineChars="200"/>
        <w:rPr>
          <w:rFonts w:ascii="仿宋" w:hAnsi="仿宋" w:eastAsia="仿宋" w:cs="仿宋"/>
          <w:bCs/>
          <w:sz w:val="28"/>
          <w:szCs w:val="28"/>
          <w:u w:val="single"/>
        </w:rPr>
      </w:pPr>
      <w:r>
        <w:rPr>
          <w:rFonts w:hint="eastAsia" w:ascii="仿宋" w:hAnsi="仿宋" w:eastAsia="仿宋" w:cs="仿宋"/>
          <w:b/>
          <w:bCs/>
          <w:sz w:val="28"/>
          <w:szCs w:val="28"/>
        </w:rPr>
        <w:t>七、询比价</w:t>
      </w:r>
      <w:r>
        <w:rPr>
          <w:rFonts w:hint="eastAsia" w:ascii="仿宋" w:hAnsi="仿宋" w:eastAsia="仿宋" w:cs="仿宋"/>
          <w:b/>
          <w:sz w:val="28"/>
          <w:szCs w:val="28"/>
        </w:rPr>
        <w:t>地点：</w:t>
      </w:r>
      <w:r>
        <w:rPr>
          <w:rFonts w:hint="eastAsia" w:ascii="仿宋" w:hAnsi="仿宋" w:eastAsia="仿宋" w:cs="仿宋"/>
          <w:bCs/>
          <w:sz w:val="28"/>
          <w:szCs w:val="28"/>
        </w:rPr>
        <w:t>蒙牛集团电子采购招标平台（https://zbcg.mengniu.cn/）（以发出的询价单为准）</w:t>
      </w:r>
    </w:p>
    <w:p w14:paraId="68E08E58">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八、发布媒体：</w:t>
      </w:r>
    </w:p>
    <w:p w14:paraId="6221A9E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14:paraId="3DFB3B7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蒙牛官网（http://www.mengniu.com.cn）</w:t>
      </w:r>
    </w:p>
    <w:p w14:paraId="74BFD1C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蒙牛内部OA平台</w:t>
      </w:r>
    </w:p>
    <w:p w14:paraId="7E60335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0C22E037">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九、采购招标实施方及联系方式</w:t>
      </w:r>
      <w:r>
        <w:rPr>
          <w:rFonts w:hint="eastAsia" w:ascii="仿宋" w:hAnsi="仿宋" w:eastAsia="仿宋" w:cs="仿宋"/>
          <w:sz w:val="28"/>
          <w:szCs w:val="28"/>
        </w:rPr>
        <w:t>：</w:t>
      </w:r>
    </w:p>
    <w:p w14:paraId="1D76DEB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采购单位：内蒙古蒙牛乳业（集团）股份有限公司</w:t>
      </w:r>
    </w:p>
    <w:p w14:paraId="6793487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业务咨询联系人：杨英姬       </w:t>
      </w:r>
    </w:p>
    <w:p w14:paraId="53CE4B3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联系方式：13674757120</w:t>
      </w:r>
    </w:p>
    <w:p w14:paraId="0CC2CB5A">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十、采购代理公司及联系方式：</w:t>
      </w:r>
    </w:p>
    <w:p w14:paraId="7545A22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采购代理公司：内蒙古华晟工程项目管理有限公司</w:t>
      </w:r>
    </w:p>
    <w:p w14:paraId="31B3390C">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报名联系人：郭宇飞（13474917016）/丁桠楠（13847197935）王子刚</w:t>
      </w:r>
    </w:p>
    <w:p w14:paraId="4B8024D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联系电话：0471-3957849/4918085分机号：8023</w:t>
      </w:r>
    </w:p>
    <w:p w14:paraId="78A42AA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电子邮箱：guoyufei@nmghuasheng.com</w:t>
      </w:r>
    </w:p>
    <w:p w14:paraId="0EEDB379">
      <w:pPr>
        <w:pStyle w:val="5"/>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25BEE6C1">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十一、监督单位及联系方式：</w:t>
      </w:r>
    </w:p>
    <w:p w14:paraId="69D34B5C">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监督单位：内蒙古蒙牛乳业（集团）股份有限公司采购招标管理部</w:t>
      </w:r>
    </w:p>
    <w:p w14:paraId="1E37427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异议/投诉服务网址：https://zbcg.mengniu.cn/#/home</w:t>
      </w:r>
    </w:p>
    <w:p w14:paraId="5029FB3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监 督 人:薛海燕                        </w:t>
      </w:r>
    </w:p>
    <w:p w14:paraId="7596AA1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联系电话：0471-7393642/监督人电话：15034952008</w:t>
      </w:r>
    </w:p>
    <w:p w14:paraId="05157AAE">
      <w:pPr>
        <w:adjustRightInd w:val="0"/>
        <w:snapToGrid w:val="0"/>
        <w:spacing w:line="360" w:lineRule="auto"/>
        <w:ind w:firstLine="560" w:firstLineChars="200"/>
        <w:rPr>
          <w:rFonts w:ascii="仿宋" w:hAnsi="仿宋" w:eastAsia="仿宋" w:cs="仿宋"/>
          <w:sz w:val="28"/>
          <w:szCs w:val="28"/>
          <w:highlight w:val="cyan"/>
        </w:rPr>
      </w:pPr>
      <w:r>
        <w:rPr>
          <w:rFonts w:hint="eastAsia" w:ascii="仿宋" w:hAnsi="仿宋" w:eastAsia="仿宋" w:cs="仿宋"/>
          <w:sz w:val="28"/>
          <w:szCs w:val="28"/>
        </w:rPr>
        <w:t>电子邮件：xuehaiyan@mengniu.cn</w:t>
      </w:r>
    </w:p>
    <w:p w14:paraId="625E133D">
      <w:pPr>
        <w:pStyle w:val="3"/>
        <w:ind w:firstLine="560"/>
        <w:rPr>
          <w:sz w:val="28"/>
          <w:szCs w:val="28"/>
        </w:rPr>
      </w:pPr>
      <w:r>
        <w:rPr>
          <w:rFonts w:hint="eastAsia"/>
          <w:sz w:val="28"/>
          <w:szCs w:val="28"/>
        </w:rPr>
        <w:t xml:space="preserve">附件：1.法人证明、授权人证明 </w:t>
      </w:r>
    </w:p>
    <w:p w14:paraId="23085A0F">
      <w:pPr>
        <w:pStyle w:val="3"/>
        <w:ind w:firstLine="560"/>
        <w:rPr>
          <w:sz w:val="28"/>
          <w:szCs w:val="28"/>
        </w:rPr>
      </w:pPr>
      <w:r>
        <w:rPr>
          <w:rFonts w:hint="eastAsia"/>
          <w:sz w:val="28"/>
          <w:szCs w:val="28"/>
        </w:rPr>
        <w:t xml:space="preserve">      2.保密承诺书</w:t>
      </w:r>
    </w:p>
    <w:p w14:paraId="61FFF83C">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采购方：内蒙古蒙牛乳业（集团）股份有限公司</w:t>
      </w:r>
    </w:p>
    <w:p w14:paraId="5AC8C97E">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采购代理公司：内蒙古华晟工程项目管理有限公司</w:t>
      </w:r>
    </w:p>
    <w:p w14:paraId="281A72A9">
      <w:pPr>
        <w:adjustRightInd w:val="0"/>
        <w:snapToGrid w:val="0"/>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2024年08月22日</w:t>
      </w:r>
    </w:p>
    <w:p w14:paraId="4041C5A6">
      <w:pPr>
        <w:adjustRightInd w:val="0"/>
        <w:snapToGrid w:val="0"/>
        <w:spacing w:line="360" w:lineRule="auto"/>
        <w:ind w:firstLine="600" w:firstLineChars="200"/>
        <w:jc w:val="left"/>
        <w:rPr>
          <w:rFonts w:ascii="仿宋" w:hAnsi="仿宋" w:eastAsia="仿宋" w:cs="仿宋"/>
          <w:sz w:val="30"/>
          <w:szCs w:val="30"/>
        </w:rPr>
      </w:pPr>
    </w:p>
    <w:p w14:paraId="600BFBA8">
      <w:pPr>
        <w:widowControl/>
        <w:jc w:val="left"/>
        <w:rPr>
          <w:rFonts w:ascii="仿宋" w:hAnsi="仿宋" w:eastAsia="仿宋" w:cs="仿宋"/>
          <w:sz w:val="30"/>
          <w:szCs w:val="30"/>
        </w:rPr>
      </w:pPr>
      <w:r>
        <w:rPr>
          <w:rFonts w:ascii="仿宋" w:hAnsi="仿宋" w:eastAsia="仿宋" w:cs="仿宋"/>
          <w:sz w:val="30"/>
          <w:szCs w:val="30"/>
        </w:rPr>
        <w:br w:type="page"/>
      </w:r>
    </w:p>
    <w:p w14:paraId="05218B5F">
      <w:pPr>
        <w:adjustRightInd w:val="0"/>
        <w:snapToGrid w:val="0"/>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附件1：</w:t>
      </w:r>
    </w:p>
    <w:p w14:paraId="698AB05B">
      <w:pPr>
        <w:spacing w:line="360" w:lineRule="auto"/>
        <w:jc w:val="center"/>
        <w:rPr>
          <w:rFonts w:ascii="仿宋" w:hAnsi="仿宋" w:eastAsia="仿宋" w:cs="仿宋"/>
          <w:b/>
          <w:kern w:val="0"/>
          <w:sz w:val="30"/>
          <w:szCs w:val="30"/>
        </w:rPr>
      </w:pPr>
      <w:r>
        <w:rPr>
          <w:rFonts w:hint="eastAsia" w:ascii="仿宋" w:hAnsi="仿宋" w:eastAsia="仿宋" w:cs="仿宋"/>
          <w:b/>
          <w:kern w:val="0"/>
          <w:sz w:val="30"/>
          <w:szCs w:val="30"/>
        </w:rPr>
        <w:t>法定代表人身份证明</w:t>
      </w:r>
    </w:p>
    <w:p w14:paraId="1DC140FC">
      <w:pPr>
        <w:spacing w:line="360" w:lineRule="auto"/>
        <w:jc w:val="center"/>
        <w:rPr>
          <w:rFonts w:ascii="仿宋" w:hAnsi="仿宋" w:eastAsia="仿宋" w:cs="仿宋"/>
          <w:b/>
          <w:sz w:val="30"/>
          <w:szCs w:val="30"/>
        </w:rPr>
      </w:pPr>
    </w:p>
    <w:p w14:paraId="50357E5A">
      <w:pPr>
        <w:spacing w:line="360" w:lineRule="auto"/>
        <w:ind w:firstLine="885" w:firstLineChars="295"/>
        <w:rPr>
          <w:rFonts w:ascii="仿宋" w:hAnsi="仿宋" w:eastAsia="仿宋" w:cs="仿宋"/>
          <w:color w:val="000000"/>
          <w:sz w:val="30"/>
          <w:szCs w:val="30"/>
          <w:u w:val="single"/>
        </w:rPr>
      </w:pPr>
      <w:r>
        <w:rPr>
          <w:rFonts w:hint="eastAsia" w:ascii="仿宋" w:hAnsi="仿宋" w:eastAsia="仿宋" w:cs="仿宋"/>
          <w:color w:val="000000"/>
          <w:sz w:val="30"/>
          <w:szCs w:val="30"/>
        </w:rPr>
        <w:t>供应商名称：</w:t>
      </w:r>
      <w:r>
        <w:rPr>
          <w:rFonts w:hint="eastAsia" w:ascii="仿宋" w:hAnsi="仿宋" w:eastAsia="仿宋" w:cs="仿宋"/>
          <w:color w:val="000000"/>
          <w:sz w:val="30"/>
          <w:szCs w:val="30"/>
          <w:u w:val="single"/>
        </w:rPr>
        <w:t xml:space="preserve">                             </w:t>
      </w:r>
    </w:p>
    <w:p w14:paraId="3E38D338">
      <w:pPr>
        <w:spacing w:line="360" w:lineRule="auto"/>
        <w:ind w:firstLine="885" w:firstLineChars="295"/>
        <w:rPr>
          <w:rFonts w:ascii="仿宋" w:hAnsi="仿宋" w:eastAsia="仿宋" w:cs="仿宋"/>
          <w:color w:val="000000"/>
          <w:sz w:val="30"/>
          <w:szCs w:val="30"/>
        </w:rPr>
      </w:pPr>
      <w:r>
        <w:rPr>
          <w:rFonts w:hint="eastAsia" w:ascii="仿宋" w:hAnsi="仿宋" w:eastAsia="仿宋" w:cs="仿宋"/>
          <w:color w:val="000000"/>
          <w:sz w:val="30"/>
          <w:szCs w:val="30"/>
        </w:rPr>
        <w:t>单位性质：</w:t>
      </w:r>
      <w:r>
        <w:rPr>
          <w:rFonts w:hint="eastAsia" w:ascii="仿宋" w:hAnsi="仿宋" w:eastAsia="仿宋" w:cs="仿宋"/>
          <w:color w:val="000000"/>
          <w:sz w:val="30"/>
          <w:szCs w:val="30"/>
          <w:u w:val="single"/>
        </w:rPr>
        <w:t xml:space="preserve">                                </w:t>
      </w:r>
    </w:p>
    <w:p w14:paraId="154FCC74">
      <w:pPr>
        <w:spacing w:line="360" w:lineRule="auto"/>
        <w:ind w:firstLine="885" w:firstLineChars="295"/>
        <w:rPr>
          <w:rFonts w:ascii="仿宋" w:hAnsi="仿宋" w:eastAsia="仿宋" w:cs="仿宋"/>
          <w:color w:val="000000"/>
          <w:sz w:val="30"/>
          <w:szCs w:val="30"/>
          <w:u w:val="single"/>
        </w:rPr>
      </w:pPr>
      <w:r>
        <w:rPr>
          <w:rFonts w:hint="eastAsia" w:ascii="仿宋" w:hAnsi="仿宋" w:eastAsia="仿宋" w:cs="仿宋"/>
          <w:color w:val="000000"/>
          <w:sz w:val="30"/>
          <w:szCs w:val="30"/>
        </w:rPr>
        <w:t>地    址：</w:t>
      </w:r>
      <w:r>
        <w:rPr>
          <w:rFonts w:hint="eastAsia" w:ascii="仿宋" w:hAnsi="仿宋" w:eastAsia="仿宋" w:cs="仿宋"/>
          <w:color w:val="000000"/>
          <w:sz w:val="30"/>
          <w:szCs w:val="30"/>
          <w:u w:val="single"/>
        </w:rPr>
        <w:t xml:space="preserve">                                   </w:t>
      </w:r>
    </w:p>
    <w:p w14:paraId="19CD936E">
      <w:pPr>
        <w:spacing w:line="360" w:lineRule="auto"/>
        <w:ind w:firstLine="885" w:firstLineChars="295"/>
        <w:rPr>
          <w:rFonts w:ascii="仿宋" w:hAnsi="仿宋" w:eastAsia="仿宋" w:cs="仿宋"/>
          <w:color w:val="000000"/>
          <w:sz w:val="30"/>
          <w:szCs w:val="30"/>
        </w:rPr>
      </w:pPr>
      <w:r>
        <w:rPr>
          <w:rFonts w:hint="eastAsia" w:ascii="仿宋" w:hAnsi="仿宋" w:eastAsia="仿宋" w:cs="仿宋"/>
          <w:color w:val="000000"/>
          <w:sz w:val="30"/>
          <w:szCs w:val="30"/>
        </w:rPr>
        <w:t>成立时间：</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年</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月</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日</w:t>
      </w:r>
    </w:p>
    <w:p w14:paraId="7BA818A5">
      <w:pPr>
        <w:spacing w:line="360" w:lineRule="auto"/>
        <w:ind w:firstLine="885" w:firstLineChars="295"/>
        <w:rPr>
          <w:rFonts w:ascii="仿宋" w:hAnsi="仿宋" w:eastAsia="仿宋" w:cs="仿宋"/>
          <w:color w:val="000000"/>
          <w:sz w:val="30"/>
          <w:szCs w:val="30"/>
        </w:rPr>
      </w:pPr>
      <w:r>
        <w:rPr>
          <w:rFonts w:hint="eastAsia" w:ascii="仿宋" w:hAnsi="仿宋" w:eastAsia="仿宋" w:cs="仿宋"/>
          <w:color w:val="000000"/>
          <w:sz w:val="30"/>
          <w:szCs w:val="30"/>
        </w:rPr>
        <w:t>经营期限：</w:t>
      </w:r>
      <w:r>
        <w:rPr>
          <w:rFonts w:hint="eastAsia" w:ascii="仿宋" w:hAnsi="仿宋" w:eastAsia="仿宋" w:cs="仿宋"/>
          <w:color w:val="000000"/>
          <w:sz w:val="30"/>
          <w:szCs w:val="30"/>
          <w:u w:val="single"/>
        </w:rPr>
        <w:t xml:space="preserve">                               </w:t>
      </w:r>
    </w:p>
    <w:p w14:paraId="7BA3B96F">
      <w:pPr>
        <w:spacing w:line="360" w:lineRule="auto"/>
        <w:ind w:left="708" w:leftChars="337" w:firstLine="1"/>
        <w:rPr>
          <w:rFonts w:ascii="仿宋" w:hAnsi="仿宋" w:eastAsia="仿宋" w:cs="仿宋"/>
          <w:color w:val="000000"/>
          <w:sz w:val="30"/>
          <w:szCs w:val="30"/>
        </w:rPr>
      </w:pPr>
      <w:r>
        <w:rPr>
          <w:rFonts w:hint="eastAsia" w:ascii="仿宋" w:hAnsi="仿宋" w:eastAsia="仿宋" w:cs="仿宋"/>
          <w:color w:val="000000"/>
          <w:sz w:val="30"/>
          <w:szCs w:val="30"/>
        </w:rPr>
        <w:t>姓名：</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性别：</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，身份证号码：</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，职务：</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系  </w:t>
      </w:r>
      <w:r>
        <w:rPr>
          <w:rFonts w:hint="eastAsia" w:ascii="仿宋" w:hAnsi="仿宋" w:eastAsia="仿宋" w:cs="仿宋"/>
          <w:color w:val="FF0000"/>
          <w:sz w:val="30"/>
          <w:szCs w:val="30"/>
          <w:u w:val="single"/>
        </w:rPr>
        <w:t>供 应 商 全 称</w:t>
      </w:r>
      <w:r>
        <w:rPr>
          <w:rFonts w:hint="eastAsia" w:ascii="仿宋" w:hAnsi="仿宋" w:eastAsia="仿宋" w:cs="仿宋"/>
          <w:color w:val="000000"/>
          <w:sz w:val="30"/>
          <w:szCs w:val="30"/>
        </w:rPr>
        <w:t>的法定代表人。</w:t>
      </w:r>
    </w:p>
    <w:p w14:paraId="6FCA9498">
      <w:pPr>
        <w:spacing w:line="360" w:lineRule="auto"/>
        <w:ind w:left="708" w:leftChars="337" w:firstLine="1"/>
        <w:rPr>
          <w:rFonts w:ascii="仿宋" w:hAnsi="仿宋" w:eastAsia="仿宋" w:cs="仿宋"/>
          <w:color w:val="000000"/>
          <w:sz w:val="30"/>
          <w:szCs w:val="30"/>
        </w:rPr>
      </w:pPr>
      <w:r>
        <w:rPr>
          <w:rFonts w:hint="eastAsia" w:ascii="仿宋" w:hAnsi="仿宋" w:eastAsia="仿宋" w:cs="仿宋"/>
          <w:color w:val="000000"/>
          <w:sz w:val="30"/>
          <w:szCs w:val="30"/>
        </w:rPr>
        <w:t>特此证明。</w:t>
      </w:r>
    </w:p>
    <w:p w14:paraId="50B13D25">
      <w:pPr>
        <w:spacing w:line="360" w:lineRule="auto"/>
        <w:ind w:right="1556" w:rightChars="741"/>
        <w:jc w:val="right"/>
        <w:rPr>
          <w:rFonts w:ascii="仿宋" w:hAnsi="仿宋" w:eastAsia="仿宋" w:cs="仿宋"/>
          <w:sz w:val="30"/>
          <w:szCs w:val="30"/>
        </w:rPr>
      </w:pPr>
      <w:r>
        <w:rPr>
          <w:rFonts w:hint="eastAsia" w:ascii="仿宋" w:hAnsi="仿宋" w:eastAsia="仿宋" w:cs="仿宋"/>
          <w:sz w:val="30"/>
          <w:szCs w:val="30"/>
        </w:rPr>
        <w:t>供应商：</w:t>
      </w:r>
      <w:r>
        <w:rPr>
          <w:rFonts w:hint="eastAsia" w:ascii="仿宋" w:hAnsi="仿宋" w:eastAsia="仿宋" w:cs="仿宋"/>
          <w:sz w:val="30"/>
          <w:szCs w:val="30"/>
          <w:u w:val="single"/>
        </w:rPr>
        <w:t xml:space="preserve">                 </w:t>
      </w:r>
      <w:r>
        <w:rPr>
          <w:rFonts w:hint="eastAsia" w:ascii="仿宋" w:hAnsi="仿宋" w:eastAsia="仿宋" w:cs="仿宋"/>
          <w:sz w:val="30"/>
          <w:szCs w:val="30"/>
        </w:rPr>
        <w:t>（盖公章）</w:t>
      </w:r>
    </w:p>
    <w:p w14:paraId="5478CA74">
      <w:pPr>
        <w:spacing w:line="360" w:lineRule="auto"/>
        <w:ind w:right="1556" w:rightChars="741"/>
        <w:jc w:val="right"/>
        <w:rPr>
          <w:rFonts w:ascii="仿宋" w:hAnsi="仿宋" w:eastAsia="仿宋" w:cs="仿宋"/>
          <w:sz w:val="30"/>
          <w:szCs w:val="30"/>
        </w:rPr>
      </w:pPr>
    </w:p>
    <w:p w14:paraId="6E6E43AC">
      <w:pPr>
        <w:spacing w:line="360" w:lineRule="auto"/>
        <w:ind w:right="1556" w:rightChars="741"/>
        <w:jc w:val="right"/>
        <w:rPr>
          <w:rFonts w:ascii="仿宋" w:hAnsi="仿宋" w:eastAsia="仿宋" w:cs="仿宋"/>
          <w:sz w:val="30"/>
          <w:szCs w:val="30"/>
        </w:rPr>
      </w:pPr>
      <w:r>
        <w:rPr>
          <w:rFonts w:hint="eastAsia" w:ascii="仿宋" w:hAnsi="仿宋" w:eastAsia="仿宋" w:cs="仿宋"/>
          <w:sz w:val="30"/>
          <w:szCs w:val="30"/>
          <w:u w:val="single"/>
        </w:rPr>
        <w:t>2024</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14:paraId="65F6F5BB">
      <w:pPr>
        <w:spacing w:line="360" w:lineRule="auto"/>
        <w:rPr>
          <w:rFonts w:ascii="仿宋" w:hAnsi="仿宋" w:eastAsia="仿宋" w:cs="仿宋"/>
          <w:b/>
          <w:kern w:val="0"/>
          <w:sz w:val="30"/>
          <w:szCs w:val="30"/>
        </w:rPr>
      </w:pPr>
    </w:p>
    <w:tbl>
      <w:tblPr>
        <w:tblStyle w:val="16"/>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683D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5060" w:type="dxa"/>
            <w:shd w:val="clear" w:color="auto" w:fill="auto"/>
          </w:tcPr>
          <w:p w14:paraId="1464E959">
            <w:pPr>
              <w:spacing w:line="360" w:lineRule="auto"/>
              <w:jc w:val="center"/>
              <w:rPr>
                <w:rFonts w:ascii="仿宋" w:hAnsi="仿宋" w:eastAsia="仿宋" w:cs="仿宋"/>
                <w:b/>
                <w:kern w:val="0"/>
                <w:sz w:val="30"/>
                <w:szCs w:val="30"/>
              </w:rPr>
            </w:pPr>
            <w:r>
              <w:rPr>
                <w:rFonts w:hint="eastAsia" w:ascii="仿宋" w:hAnsi="仿宋" w:eastAsia="仿宋" w:cs="仿宋"/>
                <w:kern w:val="0"/>
                <w:sz w:val="30"/>
                <w:szCs w:val="30"/>
              </w:rPr>
              <w:t xml:space="preserve">法人身份证正面  </w:t>
            </w:r>
          </w:p>
        </w:tc>
        <w:tc>
          <w:tcPr>
            <w:tcW w:w="5060" w:type="dxa"/>
            <w:shd w:val="clear" w:color="auto" w:fill="auto"/>
          </w:tcPr>
          <w:p w14:paraId="28C21A25">
            <w:pPr>
              <w:spacing w:line="360" w:lineRule="auto"/>
              <w:jc w:val="center"/>
              <w:rPr>
                <w:rFonts w:ascii="仿宋" w:hAnsi="仿宋" w:eastAsia="仿宋" w:cs="仿宋"/>
                <w:kern w:val="0"/>
                <w:sz w:val="30"/>
                <w:szCs w:val="30"/>
              </w:rPr>
            </w:pPr>
            <w:r>
              <w:rPr>
                <w:rFonts w:hint="eastAsia" w:ascii="仿宋" w:hAnsi="仿宋" w:eastAsia="仿宋" w:cs="仿宋"/>
                <w:kern w:val="0"/>
                <w:sz w:val="30"/>
                <w:szCs w:val="30"/>
              </w:rPr>
              <w:t xml:space="preserve">  法人身份证反面</w:t>
            </w:r>
          </w:p>
        </w:tc>
      </w:tr>
      <w:tr w14:paraId="58E5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trPr>
        <w:tc>
          <w:tcPr>
            <w:tcW w:w="5060" w:type="dxa"/>
            <w:shd w:val="clear" w:color="auto" w:fill="auto"/>
          </w:tcPr>
          <w:p w14:paraId="51402779">
            <w:pPr>
              <w:spacing w:line="360" w:lineRule="auto"/>
              <w:jc w:val="center"/>
              <w:rPr>
                <w:rFonts w:ascii="仿宋" w:hAnsi="仿宋" w:eastAsia="仿宋" w:cs="仿宋"/>
                <w:b/>
                <w:kern w:val="0"/>
                <w:sz w:val="30"/>
                <w:szCs w:val="30"/>
              </w:rPr>
            </w:pPr>
          </w:p>
        </w:tc>
        <w:tc>
          <w:tcPr>
            <w:tcW w:w="5060" w:type="dxa"/>
            <w:shd w:val="clear" w:color="auto" w:fill="auto"/>
          </w:tcPr>
          <w:p w14:paraId="475C518F">
            <w:pPr>
              <w:spacing w:line="360" w:lineRule="auto"/>
              <w:jc w:val="center"/>
              <w:rPr>
                <w:rFonts w:ascii="仿宋" w:hAnsi="仿宋" w:eastAsia="仿宋" w:cs="仿宋"/>
                <w:b/>
                <w:kern w:val="0"/>
                <w:sz w:val="30"/>
                <w:szCs w:val="30"/>
              </w:rPr>
            </w:pPr>
          </w:p>
        </w:tc>
      </w:tr>
    </w:tbl>
    <w:p w14:paraId="1E9515B8">
      <w:pPr>
        <w:spacing w:line="360" w:lineRule="auto"/>
        <w:rPr>
          <w:rFonts w:ascii="仿宋" w:hAnsi="仿宋" w:eastAsia="仿宋" w:cs="仿宋"/>
          <w:sz w:val="30"/>
          <w:szCs w:val="30"/>
        </w:rPr>
      </w:pPr>
    </w:p>
    <w:p w14:paraId="5AF1B2F3">
      <w:pPr>
        <w:spacing w:line="360" w:lineRule="auto"/>
        <w:jc w:val="center"/>
        <w:rPr>
          <w:rFonts w:ascii="仿宋" w:hAnsi="仿宋" w:eastAsia="仿宋" w:cs="仿宋"/>
          <w:color w:val="000000"/>
          <w:sz w:val="30"/>
          <w:szCs w:val="30"/>
        </w:rPr>
      </w:pPr>
      <w:r>
        <w:rPr>
          <w:rFonts w:hint="eastAsia" w:ascii="仿宋" w:hAnsi="仿宋" w:eastAsia="仿宋" w:cs="仿宋"/>
          <w:b/>
          <w:kern w:val="0"/>
          <w:sz w:val="30"/>
          <w:szCs w:val="30"/>
        </w:rPr>
        <w:t>法定代表人授权委托书</w:t>
      </w:r>
    </w:p>
    <w:p w14:paraId="0F1A68AA">
      <w:pPr>
        <w:spacing w:line="360" w:lineRule="auto"/>
        <w:ind w:right="594" w:rightChars="283"/>
        <w:jc w:val="left"/>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u w:val="single"/>
        </w:rPr>
        <w:t>（采购人名称）</w:t>
      </w:r>
      <w:r>
        <w:rPr>
          <w:rFonts w:hint="eastAsia" w:ascii="仿宋" w:hAnsi="仿宋" w:eastAsia="仿宋" w:cs="仿宋"/>
          <w:sz w:val="30"/>
          <w:szCs w:val="30"/>
        </w:rPr>
        <w:t>：</w:t>
      </w:r>
    </w:p>
    <w:p w14:paraId="5168AFB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u w:val="single"/>
        </w:rPr>
        <w:t xml:space="preserve">         （供应商全称）</w:t>
      </w:r>
      <w:r>
        <w:rPr>
          <w:rFonts w:hint="eastAsia" w:ascii="仿宋" w:hAnsi="仿宋" w:eastAsia="仿宋" w:cs="仿宋"/>
          <w:sz w:val="30"/>
          <w:szCs w:val="30"/>
        </w:rPr>
        <w:t>法定代表人</w:t>
      </w:r>
      <w:r>
        <w:rPr>
          <w:rFonts w:hint="eastAsia" w:ascii="仿宋" w:hAnsi="仿宋" w:eastAsia="仿宋" w:cs="仿宋"/>
          <w:sz w:val="30"/>
          <w:szCs w:val="30"/>
          <w:u w:val="single"/>
        </w:rPr>
        <w:t xml:space="preserve">           </w:t>
      </w:r>
      <w:r>
        <w:rPr>
          <w:rFonts w:hint="eastAsia" w:ascii="仿宋" w:hAnsi="仿宋" w:eastAsia="仿宋" w:cs="仿宋"/>
          <w:sz w:val="30"/>
          <w:szCs w:val="30"/>
        </w:rPr>
        <w:t>授权</w:t>
      </w:r>
      <w:r>
        <w:rPr>
          <w:rFonts w:hint="eastAsia" w:ascii="仿宋" w:hAnsi="仿宋" w:eastAsia="仿宋" w:cs="仿宋"/>
          <w:sz w:val="30"/>
          <w:szCs w:val="30"/>
          <w:u w:val="single"/>
        </w:rPr>
        <w:t>（代表姓名）</w:t>
      </w:r>
      <w:r>
        <w:rPr>
          <w:rFonts w:hint="eastAsia" w:ascii="仿宋" w:hAnsi="仿宋" w:eastAsia="仿宋" w:cs="仿宋"/>
          <w:sz w:val="30"/>
          <w:szCs w:val="30"/>
        </w:rPr>
        <w:t>为全权代表法定代表人，参加贵方组织的</w:t>
      </w:r>
      <w:r>
        <w:rPr>
          <w:rFonts w:hint="eastAsia" w:ascii="仿宋" w:hAnsi="仿宋" w:eastAsia="仿宋" w:cs="仿宋"/>
          <w:sz w:val="30"/>
          <w:szCs w:val="30"/>
          <w:u w:val="single"/>
        </w:rPr>
        <w:t xml:space="preserve">                  标段（如有）   </w:t>
      </w:r>
      <w:r>
        <w:rPr>
          <w:rFonts w:hint="eastAsia" w:ascii="仿宋" w:hAnsi="仿宋" w:eastAsia="仿宋" w:cs="仿宋"/>
          <w:sz w:val="30"/>
          <w:szCs w:val="30"/>
        </w:rPr>
        <w:t>竞谈活动中的一切事宜。</w:t>
      </w:r>
    </w:p>
    <w:p w14:paraId="15476367">
      <w:pPr>
        <w:spacing w:line="360" w:lineRule="auto"/>
        <w:rPr>
          <w:rFonts w:ascii="仿宋" w:hAnsi="仿宋" w:eastAsia="仿宋" w:cs="仿宋"/>
          <w:sz w:val="30"/>
          <w:szCs w:val="30"/>
        </w:rPr>
      </w:pPr>
      <w:r>
        <w:rPr>
          <w:rFonts w:hint="eastAsia" w:ascii="仿宋" w:hAnsi="仿宋" w:eastAsia="仿宋" w:cs="仿宋"/>
          <w:sz w:val="30"/>
          <w:szCs w:val="30"/>
        </w:rPr>
        <w:t>法定代表人授权委托书有效期_</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日至</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14:paraId="28D8365C">
      <w:pPr>
        <w:spacing w:line="360" w:lineRule="auto"/>
        <w:jc w:val="left"/>
        <w:rPr>
          <w:rFonts w:ascii="仿宋" w:hAnsi="仿宋" w:eastAsia="仿宋" w:cs="仿宋"/>
          <w:sz w:val="30"/>
          <w:szCs w:val="30"/>
        </w:rPr>
      </w:pPr>
      <w:r>
        <w:rPr>
          <w:rFonts w:hint="eastAsia" w:ascii="仿宋" w:hAnsi="仿宋" w:eastAsia="仿宋" w:cs="仿宋"/>
          <w:sz w:val="30"/>
          <w:szCs w:val="30"/>
        </w:rPr>
        <w:t>供应商全称（公章）：</w:t>
      </w:r>
    </w:p>
    <w:p w14:paraId="2508BD6F">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法定代表人（签字）： </w:t>
      </w:r>
    </w:p>
    <w:p w14:paraId="63F96F2F">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授权委托人（签字）：  </w:t>
      </w:r>
    </w:p>
    <w:p w14:paraId="7CC891E9">
      <w:pPr>
        <w:spacing w:line="360" w:lineRule="auto"/>
        <w:jc w:val="left"/>
        <w:rPr>
          <w:rFonts w:ascii="仿宋" w:hAnsi="仿宋" w:eastAsia="仿宋" w:cs="仿宋"/>
          <w:sz w:val="30"/>
          <w:szCs w:val="30"/>
        </w:rPr>
      </w:pPr>
      <w:r>
        <w:rPr>
          <w:rFonts w:hint="eastAsia" w:ascii="仿宋" w:hAnsi="仿宋" w:eastAsia="仿宋" w:cs="仿宋"/>
          <w:sz w:val="30"/>
          <w:szCs w:val="30"/>
        </w:rPr>
        <w:t>身份证号码：</w:t>
      </w:r>
    </w:p>
    <w:p w14:paraId="1CC0C5F7">
      <w:pPr>
        <w:spacing w:line="360" w:lineRule="auto"/>
        <w:jc w:val="left"/>
        <w:rPr>
          <w:rFonts w:ascii="仿宋" w:hAnsi="仿宋" w:eastAsia="仿宋" w:cs="仿宋"/>
          <w:color w:val="000000"/>
          <w:sz w:val="30"/>
          <w:szCs w:val="30"/>
        </w:rPr>
      </w:pPr>
      <w:r>
        <w:rPr>
          <w:rFonts w:hint="eastAsia" w:ascii="仿宋" w:hAnsi="仿宋" w:eastAsia="仿宋" w:cs="仿宋"/>
          <w:color w:val="000000"/>
          <w:sz w:val="30"/>
          <w:szCs w:val="30"/>
        </w:rPr>
        <w:t>联系电话：</w:t>
      </w:r>
    </w:p>
    <w:p w14:paraId="2CA318CC">
      <w:pPr>
        <w:spacing w:line="360" w:lineRule="auto"/>
        <w:jc w:val="left"/>
        <w:rPr>
          <w:rFonts w:ascii="仿宋" w:hAnsi="仿宋" w:eastAsia="仿宋" w:cs="仿宋"/>
          <w:color w:val="000000"/>
          <w:sz w:val="30"/>
          <w:szCs w:val="30"/>
        </w:rPr>
      </w:pPr>
      <w:r>
        <w:rPr>
          <w:rFonts w:hint="eastAsia" w:ascii="仿宋" w:hAnsi="仿宋" w:eastAsia="仿宋" w:cs="仿宋"/>
          <w:color w:val="000000"/>
          <w:sz w:val="30"/>
          <w:szCs w:val="30"/>
        </w:rPr>
        <w:t>职      务：</w:t>
      </w:r>
    </w:p>
    <w:p w14:paraId="1909CA5D">
      <w:pPr>
        <w:spacing w:line="360" w:lineRule="auto"/>
        <w:ind w:left="850" w:leftChars="405" w:firstLine="569"/>
        <w:rPr>
          <w:rFonts w:ascii="仿宋" w:hAnsi="仿宋" w:eastAsia="仿宋" w:cs="仿宋"/>
          <w:color w:val="000000"/>
          <w:sz w:val="30"/>
          <w:szCs w:val="30"/>
        </w:rPr>
      </w:pPr>
      <w:r>
        <w:rPr>
          <w:rFonts w:hint="eastAsia" w:ascii="仿宋" w:hAnsi="仿宋" w:eastAsia="仿宋" w:cs="仿宋"/>
          <w:color w:val="000000"/>
          <w:sz w:val="30"/>
          <w:szCs w:val="30"/>
        </w:rPr>
        <w:t xml:space="preserve">                                    2024年  月  日    </w:t>
      </w:r>
    </w:p>
    <w:p w14:paraId="6CA1F58A">
      <w:pPr>
        <w:spacing w:line="360" w:lineRule="auto"/>
        <w:ind w:firstLine="1063" w:firstLineChars="353"/>
        <w:rPr>
          <w:rFonts w:ascii="仿宋" w:hAnsi="仿宋" w:eastAsia="仿宋" w:cs="仿宋"/>
          <w:b/>
          <w:bCs/>
          <w:color w:val="000000"/>
          <w:sz w:val="30"/>
          <w:szCs w:val="30"/>
        </w:rPr>
      </w:pPr>
      <w:r>
        <w:rPr>
          <w:rFonts w:hint="eastAsia" w:ascii="仿宋" w:hAnsi="仿宋" w:eastAsia="仿宋" w:cs="仿宋"/>
          <w:b/>
          <w:bCs/>
          <w:color w:val="000000"/>
          <w:sz w:val="30"/>
          <w:szCs w:val="30"/>
        </w:rPr>
        <w:t>附：</w:t>
      </w:r>
    </w:p>
    <w:tbl>
      <w:tblPr>
        <w:tblStyle w:val="16"/>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14:paraId="478BD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5" w:hRule="atLeast"/>
          <w:jc w:val="center"/>
        </w:trPr>
        <w:tc>
          <w:tcPr>
            <w:tcW w:w="4821" w:type="dxa"/>
          </w:tcPr>
          <w:p w14:paraId="1ADA5216">
            <w:pPr>
              <w:spacing w:line="360" w:lineRule="auto"/>
              <w:ind w:left="128" w:leftChars="61"/>
              <w:jc w:val="center"/>
              <w:rPr>
                <w:rFonts w:ascii="仿宋" w:hAnsi="仿宋" w:eastAsia="仿宋" w:cs="仿宋"/>
                <w:color w:val="000000"/>
                <w:sz w:val="30"/>
                <w:szCs w:val="30"/>
              </w:rPr>
            </w:pPr>
            <w:r>
              <w:rPr>
                <w:rFonts w:hint="eastAsia" w:ascii="仿宋" w:hAnsi="仿宋" w:eastAsia="仿宋" w:cs="仿宋"/>
                <w:color w:val="000000"/>
                <w:sz w:val="30"/>
                <w:szCs w:val="30"/>
              </w:rPr>
              <w:t>法定代表人身份证复印件（正反面）</w:t>
            </w:r>
          </w:p>
        </w:tc>
        <w:tc>
          <w:tcPr>
            <w:tcW w:w="4558" w:type="dxa"/>
          </w:tcPr>
          <w:p w14:paraId="559F1E60">
            <w:pPr>
              <w:spacing w:line="360" w:lineRule="auto"/>
              <w:ind w:left="128" w:leftChars="61"/>
              <w:jc w:val="center"/>
              <w:rPr>
                <w:rFonts w:ascii="仿宋" w:hAnsi="仿宋" w:eastAsia="仿宋" w:cs="仿宋"/>
                <w:color w:val="000000"/>
                <w:sz w:val="30"/>
                <w:szCs w:val="30"/>
              </w:rPr>
            </w:pPr>
            <w:r>
              <w:rPr>
                <w:rFonts w:hint="eastAsia" w:ascii="仿宋" w:hAnsi="仿宋" w:eastAsia="仿宋" w:cs="仿宋"/>
                <w:color w:val="000000"/>
                <w:sz w:val="30"/>
                <w:szCs w:val="30"/>
              </w:rPr>
              <w:t>授权委托人身份证复印件（正反面）</w:t>
            </w:r>
          </w:p>
        </w:tc>
      </w:tr>
    </w:tbl>
    <w:p w14:paraId="04B629C8">
      <w:pPr>
        <w:spacing w:line="360" w:lineRule="auto"/>
        <w:jc w:val="center"/>
        <w:rPr>
          <w:rFonts w:ascii="仿宋" w:hAnsi="仿宋" w:eastAsia="仿宋" w:cs="仿宋"/>
          <w:b/>
          <w:sz w:val="30"/>
          <w:szCs w:val="30"/>
        </w:rPr>
      </w:pPr>
      <w:r>
        <w:rPr>
          <w:rFonts w:hint="eastAsia" w:ascii="仿宋" w:hAnsi="仿宋" w:eastAsia="仿宋" w:cs="仿宋"/>
          <w:b/>
          <w:sz w:val="30"/>
          <w:szCs w:val="30"/>
        </w:rPr>
        <w:t>授权委托人社保证明材料</w:t>
      </w:r>
    </w:p>
    <w:p w14:paraId="1150F30E">
      <w:pPr>
        <w:pStyle w:val="15"/>
        <w:spacing w:after="0" w:line="360" w:lineRule="auto"/>
        <w:ind w:left="0" w:leftChars="0" w:firstLine="0" w:firstLineChars="0"/>
        <w:jc w:val="center"/>
        <w:rPr>
          <w:rFonts w:ascii="仿宋" w:hAnsi="仿宋" w:eastAsia="仿宋" w:cs="仿宋"/>
          <w:i/>
          <w:color w:val="FF0000"/>
          <w:sz w:val="30"/>
          <w:szCs w:val="30"/>
          <w:shd w:val="clear" w:color="auto" w:fill="FFFFFF"/>
        </w:rPr>
      </w:pPr>
      <w:r>
        <w:rPr>
          <w:rFonts w:hint="eastAsia" w:ascii="仿宋" w:hAnsi="仿宋" w:eastAsia="仿宋" w:cs="仿宋"/>
          <w:i/>
          <w:color w:val="FF0000"/>
          <w:sz w:val="30"/>
          <w:szCs w:val="30"/>
          <w:shd w:val="clear" w:color="auto" w:fill="FFFFFF"/>
        </w:rPr>
        <w:t>（要求：1、具备社保局出具的材料；2、具备本单位名称及授权委托人姓名，近一年）</w:t>
      </w:r>
    </w:p>
    <w:p w14:paraId="2179AB84">
      <w:pPr>
        <w:pStyle w:val="15"/>
        <w:spacing w:after="0" w:line="360" w:lineRule="auto"/>
        <w:ind w:left="0" w:leftChars="0" w:firstLine="0" w:firstLineChars="0"/>
        <w:rPr>
          <w:rFonts w:ascii="仿宋" w:hAnsi="仿宋" w:eastAsia="仿宋" w:cs="仿宋"/>
          <w:b/>
          <w:sz w:val="30"/>
          <w:szCs w:val="30"/>
        </w:rPr>
      </w:pPr>
      <w:r>
        <w:rPr>
          <w:rFonts w:hint="eastAsia" w:ascii="仿宋" w:hAnsi="仿宋" w:eastAsia="仿宋" w:cs="仿宋"/>
          <w:sz w:val="30"/>
          <w:szCs w:val="30"/>
        </w:rPr>
        <w:t>附件2:</w:t>
      </w:r>
    </w:p>
    <w:p w14:paraId="47824A6F">
      <w:pPr>
        <w:spacing w:line="360" w:lineRule="auto"/>
        <w:jc w:val="center"/>
        <w:rPr>
          <w:rFonts w:ascii="仿宋" w:hAnsi="仿宋" w:eastAsia="仿宋" w:cs="仿宋"/>
          <w:b/>
          <w:sz w:val="30"/>
          <w:szCs w:val="30"/>
        </w:rPr>
      </w:pPr>
      <w:r>
        <w:rPr>
          <w:rFonts w:hint="eastAsia" w:ascii="仿宋" w:hAnsi="仿宋" w:eastAsia="仿宋" w:cs="仿宋"/>
          <w:b/>
          <w:sz w:val="30"/>
          <w:szCs w:val="30"/>
        </w:rPr>
        <w:t>保密承诺书</w:t>
      </w:r>
    </w:p>
    <w:p w14:paraId="44B767B9">
      <w:pPr>
        <w:widowControl/>
        <w:adjustRightInd w:val="0"/>
        <w:snapToGrid w:val="0"/>
        <w:spacing w:line="360" w:lineRule="auto"/>
        <w:ind w:firstLine="600" w:firstLineChars="200"/>
        <w:jc w:val="left"/>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甲方：内蒙古蒙牛乳业（集团）股份有限公司</w:t>
      </w:r>
    </w:p>
    <w:p w14:paraId="4681A4FE">
      <w:pPr>
        <w:widowControl/>
        <w:adjustRightInd w:val="0"/>
        <w:snapToGrid w:val="0"/>
        <w:spacing w:line="360" w:lineRule="auto"/>
        <w:ind w:firstLine="600" w:firstLineChars="200"/>
        <w:jc w:val="left"/>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地址：内蒙古呼和浩特市和林格尔盛乐经济园区</w:t>
      </w:r>
    </w:p>
    <w:p w14:paraId="0C837CB8">
      <w:pPr>
        <w:widowControl/>
        <w:adjustRightInd w:val="0"/>
        <w:snapToGrid w:val="0"/>
        <w:spacing w:line="360" w:lineRule="auto"/>
        <w:jc w:val="left"/>
        <w:textAlignment w:val="baseline"/>
        <w:rPr>
          <w:rFonts w:ascii="仿宋" w:hAnsi="仿宋" w:eastAsia="仿宋" w:cs="仿宋"/>
          <w:color w:val="000000"/>
          <w:kern w:val="0"/>
          <w:sz w:val="30"/>
          <w:szCs w:val="30"/>
        </w:rPr>
      </w:pPr>
    </w:p>
    <w:p w14:paraId="7068705C">
      <w:pPr>
        <w:widowControl/>
        <w:adjustRightInd w:val="0"/>
        <w:snapToGrid w:val="0"/>
        <w:spacing w:line="360" w:lineRule="auto"/>
        <w:ind w:firstLine="600" w:firstLineChars="200"/>
        <w:jc w:val="left"/>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乙方（承诺方）：</w:t>
      </w:r>
    </w:p>
    <w:p w14:paraId="19C9793E">
      <w:pPr>
        <w:widowControl/>
        <w:adjustRightInd w:val="0"/>
        <w:snapToGrid w:val="0"/>
        <w:spacing w:line="360" w:lineRule="auto"/>
        <w:ind w:firstLine="600" w:firstLineChars="200"/>
        <w:jc w:val="left"/>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地址：</w:t>
      </w:r>
    </w:p>
    <w:p w14:paraId="7BAC32E7">
      <w:pPr>
        <w:widowControl/>
        <w:adjustRightInd w:val="0"/>
        <w:snapToGrid w:val="0"/>
        <w:spacing w:line="360" w:lineRule="auto"/>
        <w:jc w:val="left"/>
        <w:textAlignment w:val="baseline"/>
        <w:rPr>
          <w:rFonts w:ascii="仿宋" w:hAnsi="仿宋" w:eastAsia="仿宋" w:cs="仿宋"/>
          <w:color w:val="000000"/>
          <w:kern w:val="0"/>
          <w:sz w:val="30"/>
          <w:szCs w:val="30"/>
        </w:rPr>
      </w:pPr>
    </w:p>
    <w:p w14:paraId="3406188B">
      <w:pPr>
        <w:widowControl/>
        <w:tabs>
          <w:tab w:val="left" w:pos="5040"/>
        </w:tabs>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甲乙双方就</w:t>
      </w:r>
      <w:r>
        <w:rPr>
          <w:rFonts w:hint="eastAsia" w:ascii="仿宋" w:hAnsi="仿宋" w:eastAsia="仿宋" w:cs="仿宋"/>
          <w:color w:val="000000"/>
          <w:kern w:val="0"/>
          <w:sz w:val="30"/>
          <w:szCs w:val="30"/>
          <w:u w:val="single"/>
        </w:rPr>
        <w:t xml:space="preserve">  蒙牛乳业冰品清远工厂外加工件集中采购项目  </w:t>
      </w:r>
      <w:r>
        <w:rPr>
          <w:rFonts w:hint="eastAsia" w:ascii="仿宋" w:hAnsi="仿宋" w:eastAsia="仿宋" w:cs="仿宋"/>
          <w:color w:val="000000"/>
          <w:kern w:val="0"/>
          <w:sz w:val="30"/>
          <w:szCs w:val="30"/>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5C1747C">
      <w:pPr>
        <w:widowControl/>
        <w:adjustRightInd w:val="0"/>
        <w:snapToGrid w:val="0"/>
        <w:spacing w:before="156" w:beforeLines="50" w:after="156" w:afterLines="50" w:line="360" w:lineRule="auto"/>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一、定义</w:t>
      </w:r>
    </w:p>
    <w:p w14:paraId="3036E682">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0098290">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（一）由乙方以书面文件证明：该等信息已于披露之前已由乙方所持有；</w:t>
      </w:r>
    </w:p>
    <w:p w14:paraId="6405A920">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（二）已公开发表或非因乙方作为或不作为的原因，已向公众披露；</w:t>
      </w:r>
    </w:p>
    <w:p w14:paraId="59FE9246">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（三）已由甲方书面同意乙方公开；</w:t>
      </w:r>
    </w:p>
    <w:p w14:paraId="44EEA75B">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（四）由乙方在未使用该等机密信息的情形下独立开发；</w:t>
      </w:r>
    </w:p>
    <w:p w14:paraId="291AFF2D">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（五）乙方从第三方处合法、正当地取得，且该第三方对该等机密信息不承担保密义务。</w:t>
      </w:r>
    </w:p>
    <w:p w14:paraId="3473A20D">
      <w:pPr>
        <w:widowControl/>
        <w:adjustRightInd w:val="0"/>
        <w:snapToGrid w:val="0"/>
        <w:spacing w:before="156" w:beforeLines="50" w:after="156" w:afterLines="50" w:line="360" w:lineRule="auto"/>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二、保密</w:t>
      </w:r>
    </w:p>
    <w:p w14:paraId="6438A025">
      <w:pPr>
        <w:pStyle w:val="11"/>
        <w:spacing w:line="360" w:lineRule="auto"/>
        <w:ind w:left="0" w:firstLine="600" w:firstLineChars="200"/>
        <w:rPr>
          <w:rFonts w:ascii="仿宋" w:hAnsi="仿宋" w:eastAsia="仿宋" w:cs="仿宋"/>
          <w:sz w:val="30"/>
          <w:szCs w:val="30"/>
        </w:rPr>
      </w:pPr>
      <w:r>
        <w:rPr>
          <w:rFonts w:hint="eastAsia" w:ascii="仿宋" w:hAnsi="仿宋" w:eastAsia="仿宋" w:cs="仿宋"/>
          <w:color w:val="000000"/>
          <w:kern w:val="0"/>
          <w:sz w:val="30"/>
          <w:szCs w:val="30"/>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30"/>
          <w:szCs w:val="30"/>
        </w:rPr>
        <w:t xml:space="preserve">  </w:t>
      </w:r>
    </w:p>
    <w:p w14:paraId="1F9B1879">
      <w:pPr>
        <w:widowControl/>
        <w:adjustRightInd w:val="0"/>
        <w:snapToGrid w:val="0"/>
        <w:spacing w:before="156" w:beforeLines="50" w:after="156" w:afterLines="50" w:line="360" w:lineRule="auto"/>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三、公开</w:t>
      </w:r>
    </w:p>
    <w:p w14:paraId="668C145F">
      <w:pPr>
        <w:pStyle w:val="11"/>
        <w:spacing w:line="360" w:lineRule="auto"/>
        <w:ind w:left="239" w:leftChars="114" w:firstLine="450" w:firstLineChars="150"/>
        <w:rPr>
          <w:rFonts w:ascii="仿宋" w:hAnsi="仿宋" w:eastAsia="仿宋" w:cs="仿宋"/>
          <w:sz w:val="30"/>
          <w:szCs w:val="30"/>
        </w:rPr>
      </w:pPr>
      <w:r>
        <w:rPr>
          <w:rFonts w:hint="eastAsia" w:ascii="仿宋" w:hAnsi="仿宋" w:eastAsia="仿宋" w:cs="仿宋"/>
          <w:color w:val="000000"/>
          <w:kern w:val="0"/>
          <w:sz w:val="30"/>
          <w:szCs w:val="30"/>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30"/>
          <w:szCs w:val="30"/>
        </w:rPr>
        <w:t xml:space="preserve">                                                                                                                                                               </w:t>
      </w:r>
    </w:p>
    <w:p w14:paraId="0492B91D">
      <w:pPr>
        <w:widowControl/>
        <w:adjustRightInd w:val="0"/>
        <w:snapToGrid w:val="0"/>
        <w:spacing w:before="156" w:beforeLines="50" w:after="156" w:afterLines="50" w:line="360" w:lineRule="auto"/>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四、强制性披露</w:t>
      </w:r>
    </w:p>
    <w:p w14:paraId="14EB10B0">
      <w:pPr>
        <w:spacing w:line="360" w:lineRule="auto"/>
        <w:ind w:firstLine="681" w:firstLineChars="227"/>
        <w:rPr>
          <w:rFonts w:ascii="仿宋" w:hAnsi="仿宋" w:eastAsia="仿宋" w:cs="仿宋"/>
          <w:color w:val="000000"/>
          <w:kern w:val="0"/>
          <w:sz w:val="30"/>
          <w:szCs w:val="30"/>
        </w:rPr>
      </w:pPr>
      <w:r>
        <w:rPr>
          <w:rFonts w:hint="eastAsia" w:ascii="仿宋" w:hAnsi="仿宋" w:eastAsia="仿宋" w:cs="仿宋"/>
          <w:color w:val="000000"/>
          <w:kern w:val="0"/>
          <w:sz w:val="30"/>
          <w:szCs w:val="30"/>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06F3938">
      <w:pPr>
        <w:widowControl/>
        <w:adjustRightInd w:val="0"/>
        <w:snapToGrid w:val="0"/>
        <w:spacing w:before="156" w:beforeLines="50" w:after="156" w:afterLines="50" w:line="360" w:lineRule="auto"/>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五、返还资料</w:t>
      </w:r>
    </w:p>
    <w:p w14:paraId="2735708A">
      <w:pPr>
        <w:pStyle w:val="6"/>
        <w:spacing w:line="360" w:lineRule="auto"/>
        <w:rPr>
          <w:rFonts w:ascii="仿宋" w:hAnsi="仿宋" w:eastAsia="仿宋" w:cs="仿宋"/>
          <w:color w:val="000000"/>
          <w:kern w:val="0"/>
          <w:sz w:val="30"/>
          <w:szCs w:val="30"/>
        </w:rPr>
      </w:pPr>
      <w:r>
        <w:rPr>
          <w:rFonts w:hint="eastAsia" w:ascii="仿宋" w:hAnsi="仿宋" w:eastAsia="仿宋" w:cs="仿宋"/>
          <w:color w:val="000000"/>
          <w:kern w:val="0"/>
          <w:sz w:val="30"/>
          <w:szCs w:val="30"/>
        </w:rPr>
        <w:t>在承诺书目的终止、撤消、完成、被拒绝或以其他方式解除后，根据甲方的书面要求，乙方应在项目谈判协商终止后的</w:t>
      </w:r>
      <w:r>
        <w:rPr>
          <w:rFonts w:hint="eastAsia" w:ascii="仿宋" w:hAnsi="仿宋" w:eastAsia="仿宋" w:cs="仿宋"/>
          <w:color w:val="000000"/>
          <w:kern w:val="0"/>
          <w:sz w:val="30"/>
          <w:szCs w:val="30"/>
          <w:u w:val="single"/>
        </w:rPr>
        <w:t xml:space="preserve">     </w:t>
      </w:r>
      <w:r>
        <w:rPr>
          <w:rFonts w:hint="eastAsia" w:ascii="仿宋" w:hAnsi="仿宋" w:eastAsia="仿宋" w:cs="仿宋"/>
          <w:color w:val="000000"/>
          <w:kern w:val="0"/>
          <w:sz w:val="30"/>
          <w:szCs w:val="30"/>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FF3DFB3">
      <w:pPr>
        <w:widowControl/>
        <w:adjustRightInd w:val="0"/>
        <w:snapToGrid w:val="0"/>
        <w:spacing w:before="156" w:beforeLines="50" w:after="156" w:afterLines="50" w:line="360" w:lineRule="auto"/>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六、非授权许可</w:t>
      </w:r>
    </w:p>
    <w:p w14:paraId="2D1A618B">
      <w:pPr>
        <w:spacing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3F89AD9">
      <w:pPr>
        <w:widowControl/>
        <w:adjustRightInd w:val="0"/>
        <w:snapToGrid w:val="0"/>
        <w:spacing w:before="156" w:beforeLines="50" w:after="156" w:afterLines="50" w:line="360" w:lineRule="auto"/>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七、义务限定</w:t>
      </w:r>
    </w:p>
    <w:p w14:paraId="51938A37">
      <w:pPr>
        <w:spacing w:line="360" w:lineRule="auto"/>
        <w:ind w:left="1"/>
        <w:rPr>
          <w:rFonts w:ascii="仿宋" w:hAnsi="仿宋" w:eastAsia="仿宋" w:cs="仿宋"/>
          <w:sz w:val="30"/>
          <w:szCs w:val="30"/>
        </w:rPr>
      </w:pPr>
      <w:r>
        <w:rPr>
          <w:rFonts w:hint="eastAsia" w:ascii="仿宋" w:hAnsi="仿宋" w:eastAsia="仿宋" w:cs="仿宋"/>
          <w:b/>
          <w:bCs/>
          <w:sz w:val="30"/>
          <w:szCs w:val="30"/>
        </w:rPr>
        <w:t xml:space="preserve">   </w:t>
      </w:r>
      <w:r>
        <w:rPr>
          <w:rFonts w:hint="eastAsia" w:ascii="仿宋" w:hAnsi="仿宋" w:eastAsia="仿宋" w:cs="仿宋"/>
          <w:color w:val="000000"/>
          <w:kern w:val="0"/>
          <w:sz w:val="30"/>
          <w:szCs w:val="30"/>
        </w:rPr>
        <w:t xml:space="preserve"> 本承诺书不得被视作或解释为甲方有义务向乙方提供任何信息、与乙方进行商业交易或签订任何最终协议，除非甲方决定向乙方提供信息或与其签订与交易有关的最终协议。</w:t>
      </w:r>
    </w:p>
    <w:p w14:paraId="1F1AC7CA">
      <w:pPr>
        <w:widowControl/>
        <w:adjustRightInd w:val="0"/>
        <w:snapToGrid w:val="0"/>
        <w:spacing w:before="156" w:beforeLines="50" w:after="156" w:afterLines="50" w:line="360" w:lineRule="auto"/>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八、信息准确性</w:t>
      </w:r>
    </w:p>
    <w:p w14:paraId="1D8F638E">
      <w:pPr>
        <w:spacing w:line="360" w:lineRule="auto"/>
        <w:ind w:left="41" w:leftChars="-266" w:hanging="600" w:hangingChars="200"/>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color w:val="000000"/>
          <w:kern w:val="0"/>
          <w:sz w:val="30"/>
          <w:szCs w:val="30"/>
        </w:rPr>
        <w:t>甲方、甲方的子公司及分公司并未就其向乙方披露的任何机密信息的准确性、可靠性及完整性作出明示或暗示的声明或保证，且对乙方、其代表人员或其他使用该等机密信息的人员不承担任何责任。</w:t>
      </w:r>
    </w:p>
    <w:p w14:paraId="56A61F38">
      <w:pPr>
        <w:widowControl/>
        <w:adjustRightInd w:val="0"/>
        <w:snapToGrid w:val="0"/>
        <w:spacing w:before="156" w:beforeLines="50" w:after="156" w:afterLines="50" w:line="360" w:lineRule="auto"/>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九、期限</w:t>
      </w:r>
    </w:p>
    <w:p w14:paraId="2BA5F6F8">
      <w:pPr>
        <w:pStyle w:val="6"/>
        <w:spacing w:line="360" w:lineRule="auto"/>
        <w:rPr>
          <w:rFonts w:ascii="仿宋" w:hAnsi="仿宋" w:eastAsia="仿宋" w:cs="仿宋"/>
          <w:color w:val="000000"/>
          <w:kern w:val="0"/>
          <w:sz w:val="30"/>
          <w:szCs w:val="30"/>
        </w:rPr>
      </w:pPr>
      <w:r>
        <w:rPr>
          <w:rFonts w:hint="eastAsia" w:ascii="仿宋" w:hAnsi="仿宋" w:eastAsia="仿宋" w:cs="仿宋"/>
          <w:color w:val="000000"/>
          <w:kern w:val="0"/>
          <w:sz w:val="30"/>
          <w:szCs w:val="30"/>
        </w:rPr>
        <w:t>本承诺书中乙方之保密义务应自乙方收到机密信息之日起</w:t>
      </w:r>
      <w:r>
        <w:rPr>
          <w:rFonts w:hint="eastAsia" w:ascii="仿宋" w:hAnsi="仿宋" w:eastAsia="仿宋" w:cs="仿宋"/>
          <w:color w:val="000000"/>
          <w:kern w:val="0"/>
          <w:sz w:val="30"/>
          <w:szCs w:val="30"/>
          <w:u w:val="single"/>
        </w:rPr>
        <w:t xml:space="preserve">  5  </w:t>
      </w:r>
      <w:r>
        <w:rPr>
          <w:rFonts w:hint="eastAsia" w:ascii="仿宋" w:hAnsi="仿宋" w:eastAsia="仿宋" w:cs="仿宋"/>
          <w:color w:val="000000"/>
          <w:kern w:val="0"/>
          <w:sz w:val="30"/>
          <w:szCs w:val="30"/>
        </w:rPr>
        <w:t>年内持续有效，且不因承诺书目的之达成而终止。</w:t>
      </w:r>
    </w:p>
    <w:p w14:paraId="43B43066">
      <w:pPr>
        <w:pStyle w:val="5"/>
        <w:spacing w:before="156" w:beforeLines="50" w:after="156" w:afterLines="50" w:line="360" w:lineRule="auto"/>
        <w:rPr>
          <w:rFonts w:ascii="仿宋" w:hAnsi="仿宋" w:eastAsia="仿宋" w:cs="仿宋"/>
          <w:b/>
          <w:color w:val="000000"/>
          <w:sz w:val="30"/>
          <w:szCs w:val="30"/>
        </w:rPr>
      </w:pPr>
      <w:r>
        <w:rPr>
          <w:rFonts w:hint="eastAsia" w:ascii="仿宋" w:hAnsi="仿宋" w:eastAsia="仿宋" w:cs="仿宋"/>
          <w:b/>
          <w:color w:val="000000"/>
          <w:kern w:val="0"/>
          <w:sz w:val="30"/>
          <w:szCs w:val="30"/>
        </w:rPr>
        <w:t>十、</w:t>
      </w:r>
      <w:r>
        <w:rPr>
          <w:rFonts w:hint="eastAsia" w:ascii="仿宋" w:hAnsi="仿宋" w:eastAsia="仿宋" w:cs="仿宋"/>
          <w:b/>
          <w:color w:val="000000"/>
          <w:sz w:val="30"/>
          <w:szCs w:val="30"/>
        </w:rPr>
        <w:t>补充条款</w:t>
      </w:r>
    </w:p>
    <w:p w14:paraId="7483D695">
      <w:pPr>
        <w:pStyle w:val="5"/>
        <w:spacing w:after="0" w:line="360" w:lineRule="auto"/>
        <w:ind w:firstLine="602" w:firstLineChars="200"/>
        <w:rPr>
          <w:rFonts w:ascii="仿宋" w:hAnsi="仿宋" w:eastAsia="仿宋" w:cs="仿宋"/>
          <w:b/>
          <w:color w:val="000000"/>
          <w:sz w:val="30"/>
          <w:szCs w:val="30"/>
        </w:rPr>
      </w:pPr>
      <w:r>
        <w:rPr>
          <w:rFonts w:hint="eastAsia" w:ascii="仿宋" w:hAnsi="仿宋" w:eastAsia="仿宋" w:cs="仿宋"/>
          <w:b/>
          <w:color w:val="000000"/>
          <w:sz w:val="30"/>
          <w:szCs w:val="30"/>
        </w:rPr>
        <w:t>（一）合规条款</w:t>
      </w:r>
    </w:p>
    <w:p w14:paraId="0C2D0C75">
      <w:pPr>
        <w:pStyle w:val="5"/>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F4F2EB2">
      <w:pPr>
        <w:pStyle w:val="5"/>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2、履约行为合规承诺：乙方承诺具有履行本承诺书约定的能力，且履行行为符合现行法律法规等规范性文件的要求。</w:t>
      </w:r>
    </w:p>
    <w:p w14:paraId="06A6A8C1">
      <w:pPr>
        <w:pStyle w:val="5"/>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07C474C">
      <w:pPr>
        <w:pStyle w:val="5"/>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4、合规检查：乙方应积极配合甲方的合规检查，理解并接受甲方对乙方的合规管理要求，同意配合合规检查，并不得隐瞒任何可能对甲方利益造成影响的信息。</w:t>
      </w:r>
    </w:p>
    <w:p w14:paraId="52926E59">
      <w:pPr>
        <w:pStyle w:val="5"/>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5、劳动用工:</w:t>
      </w:r>
      <w:r>
        <w:rPr>
          <w:rFonts w:hint="eastAsia" w:ascii="仿宋" w:hAnsi="仿宋" w:eastAsia="仿宋" w:cs="仿宋"/>
          <w:sz w:val="30"/>
          <w:szCs w:val="30"/>
        </w:rPr>
        <w:t xml:space="preserve"> </w:t>
      </w:r>
      <w:r>
        <w:rPr>
          <w:rFonts w:hint="eastAsia" w:ascii="仿宋" w:hAnsi="仿宋" w:eastAsia="仿宋" w:cs="仿宋"/>
          <w:color w:val="000000"/>
          <w:sz w:val="30"/>
          <w:szCs w:val="30"/>
        </w:rPr>
        <w:t>乙方承诺不雇佣、使用童工，保障其员工的劳动合法权益，不纵容、支持、实施歧视、威胁员工的行为或发布相关言论。</w:t>
      </w:r>
    </w:p>
    <w:p w14:paraId="37F6516C">
      <w:pPr>
        <w:pStyle w:val="5"/>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1595AF8">
      <w:pPr>
        <w:pStyle w:val="5"/>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7、严格约束乙方员工及其代理人：乙方承诺严格遵守合规承诺条款，若乙方员工及乙方的代理人或代理机构违反相关承诺即视为乙方违反。</w:t>
      </w:r>
    </w:p>
    <w:p w14:paraId="1C7C2D30">
      <w:pPr>
        <w:pStyle w:val="5"/>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42F8B2B">
      <w:pPr>
        <w:pStyle w:val="5"/>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53FE7D1">
      <w:pPr>
        <w:pStyle w:val="5"/>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10、责任承担：如果乙方违反前述合规承诺条款，甲方有权要求乙方承担因此而给甲方造成的全部损失。</w:t>
      </w:r>
    </w:p>
    <w:p w14:paraId="0F7E2486">
      <w:pPr>
        <w:pStyle w:val="5"/>
        <w:spacing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12、适用原则：本承诺书中合规条款对乙方的要求与承诺书中其他条款不一致的，以对乙方要求更高的条款为准。</w:t>
      </w:r>
    </w:p>
    <w:p w14:paraId="68627516">
      <w:pPr>
        <w:pStyle w:val="5"/>
        <w:spacing w:after="0" w:line="360" w:lineRule="auto"/>
        <w:ind w:firstLine="602" w:firstLineChars="200"/>
        <w:rPr>
          <w:rFonts w:ascii="仿宋" w:hAnsi="仿宋" w:eastAsia="仿宋" w:cs="仿宋"/>
          <w:b/>
          <w:color w:val="000000"/>
          <w:sz w:val="30"/>
          <w:szCs w:val="30"/>
        </w:rPr>
      </w:pPr>
      <w:r>
        <w:rPr>
          <w:rFonts w:hint="eastAsia" w:ascii="仿宋" w:hAnsi="仿宋" w:eastAsia="仿宋" w:cs="仿宋"/>
          <w:b/>
          <w:color w:val="000000"/>
          <w:sz w:val="30"/>
          <w:szCs w:val="30"/>
        </w:rPr>
        <w:t>（二）环境保护</w:t>
      </w:r>
    </w:p>
    <w:p w14:paraId="7AD62F3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6D01062">
      <w:pPr>
        <w:spacing w:line="360" w:lineRule="auto"/>
        <w:ind w:firstLine="602" w:firstLineChars="200"/>
        <w:rPr>
          <w:rFonts w:ascii="仿宋" w:hAnsi="仿宋" w:eastAsia="仿宋" w:cs="仿宋"/>
          <w:b/>
          <w:sz w:val="30"/>
          <w:szCs w:val="30"/>
        </w:rPr>
      </w:pPr>
      <w:r>
        <w:rPr>
          <w:rFonts w:hint="eastAsia" w:ascii="仿宋" w:hAnsi="仿宋" w:eastAsia="仿宋" w:cs="仿宋"/>
          <w:b/>
          <w:sz w:val="30"/>
          <w:szCs w:val="30"/>
        </w:rPr>
        <w:t>（三）附件法律效力条款</w:t>
      </w:r>
    </w:p>
    <w:p w14:paraId="2A057802">
      <w:pPr>
        <w:widowControl/>
        <w:adjustRightInd w:val="0"/>
        <w:snapToGrid w:val="0"/>
        <w:spacing w:line="360"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sz w:val="30"/>
          <w:szCs w:val="30"/>
        </w:rPr>
        <w:t>本着接受法律上之约束的意向，双方特此同意本承诺书全部附录、附件等均为本承诺书不可分割的部分，共同构成双方就达成的全部承诺书，与本承诺书具有同等法律效力。</w:t>
      </w:r>
    </w:p>
    <w:p w14:paraId="5A9C1EC9">
      <w:pPr>
        <w:pStyle w:val="5"/>
        <w:spacing w:before="156" w:beforeLines="50" w:after="156" w:afterLines="50" w:line="360" w:lineRule="auto"/>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十一、适用法律</w:t>
      </w:r>
    </w:p>
    <w:p w14:paraId="7D58EF00">
      <w:pPr>
        <w:spacing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30"/>
          <w:szCs w:val="30"/>
          <w:u w:val="single"/>
        </w:rPr>
        <w:t>【 一 】</w:t>
      </w:r>
      <w:r>
        <w:rPr>
          <w:rFonts w:hint="eastAsia" w:ascii="仿宋" w:hAnsi="仿宋" w:eastAsia="仿宋" w:cs="仿宋"/>
          <w:color w:val="000000"/>
          <w:kern w:val="0"/>
          <w:sz w:val="30"/>
          <w:szCs w:val="30"/>
        </w:rPr>
        <w:t>种方式解决：</w:t>
      </w:r>
    </w:p>
    <w:p w14:paraId="5C61483F">
      <w:pPr>
        <w:spacing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（一）向呼和浩特仲裁委员会申请仲裁。因仲裁产生的包括但不限于仲裁费、律师费、调查费、差旅费等，由乙方承担。</w:t>
      </w:r>
    </w:p>
    <w:p w14:paraId="0DA99C69">
      <w:pPr>
        <w:spacing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（二）向甲方所在地有管辖权的人民法院提起诉讼。因诉讼产生的包括但不限于诉讼费、律师费、调查费、差旅费等，由乙方承担。</w:t>
      </w:r>
    </w:p>
    <w:p w14:paraId="488FCFBE">
      <w:pPr>
        <w:pStyle w:val="5"/>
        <w:spacing w:before="156" w:beforeLines="50" w:after="156" w:afterLines="50" w:line="360" w:lineRule="auto"/>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十二、违约责任及救济</w:t>
      </w:r>
    </w:p>
    <w:p w14:paraId="1C3006D5">
      <w:pPr>
        <w:spacing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25EFFB2">
      <w:pPr>
        <w:spacing w:line="360" w:lineRule="auto"/>
        <w:ind w:firstLine="602" w:firstLineChars="200"/>
        <w:rPr>
          <w:rFonts w:ascii="仿宋" w:hAnsi="仿宋" w:eastAsia="仿宋" w:cs="仿宋"/>
          <w:color w:val="000000"/>
          <w:kern w:val="0"/>
          <w:sz w:val="30"/>
          <w:szCs w:val="30"/>
        </w:rPr>
      </w:pPr>
      <w:r>
        <w:rPr>
          <w:rFonts w:hint="eastAsia" w:ascii="仿宋" w:hAnsi="仿宋" w:eastAsia="仿宋" w:cs="仿宋"/>
          <w:b/>
          <w:color w:val="000000"/>
          <w:kern w:val="0"/>
          <w:sz w:val="30"/>
          <w:szCs w:val="30"/>
        </w:rPr>
        <w:t>如果</w:t>
      </w:r>
      <w:r>
        <w:rPr>
          <w:rFonts w:hint="eastAsia" w:ascii="仿宋" w:hAnsi="仿宋" w:eastAsia="仿宋" w:cs="仿宋"/>
          <w:b/>
          <w:bCs/>
          <w:color w:val="000000"/>
          <w:kern w:val="0"/>
          <w:sz w:val="30"/>
          <w:szCs w:val="30"/>
        </w:rPr>
        <w:t>乙方</w:t>
      </w:r>
      <w:r>
        <w:rPr>
          <w:rFonts w:hint="eastAsia" w:ascii="仿宋" w:hAnsi="仿宋" w:eastAsia="仿宋" w:cs="仿宋"/>
          <w:b/>
          <w:color w:val="000000"/>
          <w:kern w:val="0"/>
          <w:sz w:val="30"/>
          <w:szCs w:val="30"/>
        </w:rPr>
        <w:t>违反本承诺书的任何规定情形,则甲方有权将乙方拉入蒙牛供应商黑名单，乙方应积极配合甲方在10个工作日内收回已经泄露的信息。</w:t>
      </w:r>
    </w:p>
    <w:p w14:paraId="38901DD7">
      <w:pPr>
        <w:pStyle w:val="5"/>
        <w:spacing w:before="156" w:beforeLines="50" w:after="156" w:afterLines="50" w:line="360" w:lineRule="auto"/>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十三、生效及份数</w:t>
      </w:r>
    </w:p>
    <w:p w14:paraId="3F0C349B">
      <w:pPr>
        <w:pStyle w:val="5"/>
        <w:spacing w:before="156" w:beforeLines="50" w:after="156" w:afterLines="50"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本承诺书经乙方签字盖章之日起生效。</w:t>
      </w:r>
    </w:p>
    <w:p w14:paraId="389521F6">
      <w:pPr>
        <w:spacing w:line="360" w:lineRule="auto"/>
        <w:ind w:left="360"/>
        <w:rPr>
          <w:rFonts w:ascii="仿宋" w:hAnsi="仿宋" w:eastAsia="仿宋" w:cs="仿宋"/>
          <w:b/>
          <w:bCs/>
          <w:sz w:val="30"/>
          <w:szCs w:val="30"/>
        </w:rPr>
      </w:pPr>
    </w:p>
    <w:p w14:paraId="18AC07F6">
      <w:pPr>
        <w:widowControl/>
        <w:adjustRightInd w:val="0"/>
        <w:snapToGrid w:val="0"/>
        <w:spacing w:line="360" w:lineRule="auto"/>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（以下无正文）</w:t>
      </w:r>
    </w:p>
    <w:p w14:paraId="18418667">
      <w:pPr>
        <w:widowControl/>
        <w:adjustRightInd w:val="0"/>
        <w:snapToGrid w:val="0"/>
        <w:spacing w:line="360" w:lineRule="auto"/>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ab/>
      </w:r>
      <w:r>
        <w:rPr>
          <w:rFonts w:hint="eastAsia" w:ascii="仿宋" w:hAnsi="仿宋" w:eastAsia="仿宋" w:cs="仿宋"/>
          <w:color w:val="000000"/>
          <w:kern w:val="0"/>
          <w:sz w:val="30"/>
          <w:szCs w:val="30"/>
        </w:rPr>
        <w:tab/>
      </w:r>
      <w:r>
        <w:rPr>
          <w:rFonts w:hint="eastAsia" w:ascii="仿宋" w:hAnsi="仿宋" w:eastAsia="仿宋" w:cs="仿宋"/>
          <w:color w:val="000000"/>
          <w:kern w:val="0"/>
          <w:sz w:val="30"/>
          <w:szCs w:val="30"/>
        </w:rPr>
        <w:t xml:space="preserve">                            </w:t>
      </w:r>
    </w:p>
    <w:p w14:paraId="4B66BB3A">
      <w:pPr>
        <w:widowControl/>
        <w:adjustRightInd w:val="0"/>
        <w:snapToGrid w:val="0"/>
        <w:spacing w:line="360" w:lineRule="auto"/>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乙方（承诺方）：</w:t>
      </w:r>
    </w:p>
    <w:p w14:paraId="6D88876A">
      <w:pPr>
        <w:widowControl/>
        <w:adjustRightInd w:val="0"/>
        <w:snapToGrid w:val="0"/>
        <w:spacing w:line="360" w:lineRule="auto"/>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代表人（签字）：</w:t>
      </w:r>
    </w:p>
    <w:p w14:paraId="3BDEE94C">
      <w:pPr>
        <w:widowControl/>
        <w:adjustRightInd w:val="0"/>
        <w:snapToGrid w:val="0"/>
        <w:spacing w:line="360" w:lineRule="auto"/>
        <w:textAlignment w:val="baseline"/>
        <w:rPr>
          <w:rFonts w:ascii="仿宋" w:hAnsi="仿宋" w:eastAsia="仿宋" w:cs="仿宋"/>
          <w:kern w:val="0"/>
          <w:sz w:val="30"/>
          <w:szCs w:val="30"/>
        </w:rPr>
      </w:pPr>
      <w:r>
        <w:rPr>
          <w:rFonts w:hint="eastAsia" w:ascii="仿宋" w:hAnsi="仿宋" w:eastAsia="仿宋" w:cs="仿宋"/>
          <w:color w:val="000000"/>
          <w:kern w:val="0"/>
          <w:sz w:val="30"/>
          <w:szCs w:val="30"/>
        </w:rPr>
        <w:t>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E1371"/>
    <w:multiLevelType w:val="singleLevel"/>
    <w:tmpl w:val="605E137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NzE1NWQ3ZTliOTFkYzkwOWU0OWUxMzRhZGI4MzUifQ=="/>
    <w:docVar w:name="KSO_WPS_MARK_KEY" w:val="dd94c443-fd7a-46f2-98da-4aae1b9251c2"/>
  </w:docVars>
  <w:rsids>
    <w:rsidRoot w:val="00FE589C"/>
    <w:rsid w:val="000018B2"/>
    <w:rsid w:val="00001945"/>
    <w:rsid w:val="00003625"/>
    <w:rsid w:val="00003935"/>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630E"/>
    <w:rsid w:val="00037B06"/>
    <w:rsid w:val="00041D90"/>
    <w:rsid w:val="0004329F"/>
    <w:rsid w:val="0004685A"/>
    <w:rsid w:val="00046E95"/>
    <w:rsid w:val="00053CF1"/>
    <w:rsid w:val="00054237"/>
    <w:rsid w:val="00054493"/>
    <w:rsid w:val="00062701"/>
    <w:rsid w:val="00062C5B"/>
    <w:rsid w:val="00071FF1"/>
    <w:rsid w:val="000749D5"/>
    <w:rsid w:val="00075C8C"/>
    <w:rsid w:val="00080606"/>
    <w:rsid w:val="0008086A"/>
    <w:rsid w:val="0009094C"/>
    <w:rsid w:val="000913EC"/>
    <w:rsid w:val="0009391C"/>
    <w:rsid w:val="00095875"/>
    <w:rsid w:val="00096A8F"/>
    <w:rsid w:val="000970B1"/>
    <w:rsid w:val="000A3825"/>
    <w:rsid w:val="000A54FC"/>
    <w:rsid w:val="000B0E7E"/>
    <w:rsid w:val="000B3861"/>
    <w:rsid w:val="000C4CF4"/>
    <w:rsid w:val="000C4D65"/>
    <w:rsid w:val="000D10E8"/>
    <w:rsid w:val="000D453B"/>
    <w:rsid w:val="000E1D8A"/>
    <w:rsid w:val="000E256C"/>
    <w:rsid w:val="000E2A55"/>
    <w:rsid w:val="000E31BA"/>
    <w:rsid w:val="000E3EBB"/>
    <w:rsid w:val="000E3F94"/>
    <w:rsid w:val="000E5A1D"/>
    <w:rsid w:val="000E6A86"/>
    <w:rsid w:val="000E77D9"/>
    <w:rsid w:val="000F0F0E"/>
    <w:rsid w:val="000F149F"/>
    <w:rsid w:val="000F1E07"/>
    <w:rsid w:val="000F2882"/>
    <w:rsid w:val="000F5334"/>
    <w:rsid w:val="000F7A43"/>
    <w:rsid w:val="00104028"/>
    <w:rsid w:val="0010758A"/>
    <w:rsid w:val="00107F38"/>
    <w:rsid w:val="00111858"/>
    <w:rsid w:val="00112732"/>
    <w:rsid w:val="00115B80"/>
    <w:rsid w:val="00124571"/>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214E"/>
    <w:rsid w:val="001F418F"/>
    <w:rsid w:val="001F5247"/>
    <w:rsid w:val="001F7E64"/>
    <w:rsid w:val="00200626"/>
    <w:rsid w:val="00201F28"/>
    <w:rsid w:val="00214ABB"/>
    <w:rsid w:val="00214FF8"/>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A01D4"/>
    <w:rsid w:val="002A1A21"/>
    <w:rsid w:val="002A1A7A"/>
    <w:rsid w:val="002A579F"/>
    <w:rsid w:val="002A5CA1"/>
    <w:rsid w:val="002A658E"/>
    <w:rsid w:val="002B27DF"/>
    <w:rsid w:val="002B593B"/>
    <w:rsid w:val="002B5F4F"/>
    <w:rsid w:val="002B6BE1"/>
    <w:rsid w:val="002B78D9"/>
    <w:rsid w:val="002C2C67"/>
    <w:rsid w:val="002C2D7E"/>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71B"/>
    <w:rsid w:val="003258CE"/>
    <w:rsid w:val="003264EF"/>
    <w:rsid w:val="00326958"/>
    <w:rsid w:val="00327183"/>
    <w:rsid w:val="0033196B"/>
    <w:rsid w:val="00331DF8"/>
    <w:rsid w:val="00331F10"/>
    <w:rsid w:val="0033205F"/>
    <w:rsid w:val="00333908"/>
    <w:rsid w:val="00333C33"/>
    <w:rsid w:val="0033531F"/>
    <w:rsid w:val="003359A4"/>
    <w:rsid w:val="00336067"/>
    <w:rsid w:val="00337CD1"/>
    <w:rsid w:val="00341056"/>
    <w:rsid w:val="00345EDC"/>
    <w:rsid w:val="00351894"/>
    <w:rsid w:val="00352390"/>
    <w:rsid w:val="0035321C"/>
    <w:rsid w:val="00357C20"/>
    <w:rsid w:val="00361BFB"/>
    <w:rsid w:val="003620C5"/>
    <w:rsid w:val="00365877"/>
    <w:rsid w:val="00365CD6"/>
    <w:rsid w:val="00367D52"/>
    <w:rsid w:val="0037145B"/>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04FA"/>
    <w:rsid w:val="003C1106"/>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586"/>
    <w:rsid w:val="003F6D90"/>
    <w:rsid w:val="003F7DDA"/>
    <w:rsid w:val="00405295"/>
    <w:rsid w:val="0041052F"/>
    <w:rsid w:val="00410740"/>
    <w:rsid w:val="00410D1C"/>
    <w:rsid w:val="00413E0B"/>
    <w:rsid w:val="00415052"/>
    <w:rsid w:val="00415855"/>
    <w:rsid w:val="0041775E"/>
    <w:rsid w:val="00424519"/>
    <w:rsid w:val="0042773E"/>
    <w:rsid w:val="0043025F"/>
    <w:rsid w:val="00432376"/>
    <w:rsid w:val="00442473"/>
    <w:rsid w:val="00442D7F"/>
    <w:rsid w:val="00443664"/>
    <w:rsid w:val="00446494"/>
    <w:rsid w:val="00446C3B"/>
    <w:rsid w:val="004504F4"/>
    <w:rsid w:val="00450E14"/>
    <w:rsid w:val="004513DA"/>
    <w:rsid w:val="00455995"/>
    <w:rsid w:val="004619A4"/>
    <w:rsid w:val="00461C12"/>
    <w:rsid w:val="00461E46"/>
    <w:rsid w:val="00465A97"/>
    <w:rsid w:val="004727E8"/>
    <w:rsid w:val="00472AED"/>
    <w:rsid w:val="004756E1"/>
    <w:rsid w:val="0048356D"/>
    <w:rsid w:val="00483C9F"/>
    <w:rsid w:val="00484C01"/>
    <w:rsid w:val="00484D5D"/>
    <w:rsid w:val="004908C5"/>
    <w:rsid w:val="004908E8"/>
    <w:rsid w:val="004915E1"/>
    <w:rsid w:val="004938E9"/>
    <w:rsid w:val="00496195"/>
    <w:rsid w:val="004A28E8"/>
    <w:rsid w:val="004A43B9"/>
    <w:rsid w:val="004A5D48"/>
    <w:rsid w:val="004A7403"/>
    <w:rsid w:val="004A7E90"/>
    <w:rsid w:val="004B4697"/>
    <w:rsid w:val="004B55B1"/>
    <w:rsid w:val="004B59CA"/>
    <w:rsid w:val="004B68C1"/>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2BB0"/>
    <w:rsid w:val="00532DAA"/>
    <w:rsid w:val="00532F94"/>
    <w:rsid w:val="00534096"/>
    <w:rsid w:val="00535675"/>
    <w:rsid w:val="005358A8"/>
    <w:rsid w:val="0053778C"/>
    <w:rsid w:val="00544849"/>
    <w:rsid w:val="0054578C"/>
    <w:rsid w:val="00545E43"/>
    <w:rsid w:val="005500D3"/>
    <w:rsid w:val="005503DD"/>
    <w:rsid w:val="00550E9D"/>
    <w:rsid w:val="00551A50"/>
    <w:rsid w:val="005547ED"/>
    <w:rsid w:val="00555067"/>
    <w:rsid w:val="005558EC"/>
    <w:rsid w:val="00557A2E"/>
    <w:rsid w:val="0056062D"/>
    <w:rsid w:val="005620E8"/>
    <w:rsid w:val="00562727"/>
    <w:rsid w:val="00564C38"/>
    <w:rsid w:val="0056774E"/>
    <w:rsid w:val="00570489"/>
    <w:rsid w:val="00574B5D"/>
    <w:rsid w:val="00576026"/>
    <w:rsid w:val="005771ED"/>
    <w:rsid w:val="005823FC"/>
    <w:rsid w:val="00583DF5"/>
    <w:rsid w:val="00584C50"/>
    <w:rsid w:val="0058507C"/>
    <w:rsid w:val="005869B5"/>
    <w:rsid w:val="00592E00"/>
    <w:rsid w:val="00593122"/>
    <w:rsid w:val="005956A4"/>
    <w:rsid w:val="00595D68"/>
    <w:rsid w:val="00596937"/>
    <w:rsid w:val="00597C9F"/>
    <w:rsid w:val="005A4E19"/>
    <w:rsid w:val="005A733F"/>
    <w:rsid w:val="005B1193"/>
    <w:rsid w:val="005B6498"/>
    <w:rsid w:val="005B6E10"/>
    <w:rsid w:val="005B7291"/>
    <w:rsid w:val="005C5462"/>
    <w:rsid w:val="005C5E0B"/>
    <w:rsid w:val="005C6900"/>
    <w:rsid w:val="005C71EA"/>
    <w:rsid w:val="005D3CEF"/>
    <w:rsid w:val="005D7342"/>
    <w:rsid w:val="005E026A"/>
    <w:rsid w:val="005E0841"/>
    <w:rsid w:val="005E2097"/>
    <w:rsid w:val="005E38CB"/>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4BC3"/>
    <w:rsid w:val="00656138"/>
    <w:rsid w:val="006619E5"/>
    <w:rsid w:val="00662468"/>
    <w:rsid w:val="0066425B"/>
    <w:rsid w:val="00667E9E"/>
    <w:rsid w:val="00671BE2"/>
    <w:rsid w:val="00676B3D"/>
    <w:rsid w:val="00676CBD"/>
    <w:rsid w:val="00676E3D"/>
    <w:rsid w:val="00685946"/>
    <w:rsid w:val="00686782"/>
    <w:rsid w:val="00687969"/>
    <w:rsid w:val="00690375"/>
    <w:rsid w:val="00690870"/>
    <w:rsid w:val="00695BFD"/>
    <w:rsid w:val="006A09FB"/>
    <w:rsid w:val="006A0B5B"/>
    <w:rsid w:val="006A5216"/>
    <w:rsid w:val="006A5A4B"/>
    <w:rsid w:val="006B133F"/>
    <w:rsid w:val="006B29F7"/>
    <w:rsid w:val="006B4AA9"/>
    <w:rsid w:val="006C0A12"/>
    <w:rsid w:val="006C3295"/>
    <w:rsid w:val="006C5167"/>
    <w:rsid w:val="006D007D"/>
    <w:rsid w:val="006D2759"/>
    <w:rsid w:val="006E089B"/>
    <w:rsid w:val="006E0B6E"/>
    <w:rsid w:val="006E3547"/>
    <w:rsid w:val="006E6D1C"/>
    <w:rsid w:val="006E713C"/>
    <w:rsid w:val="006E73A6"/>
    <w:rsid w:val="006E7D80"/>
    <w:rsid w:val="006E7F83"/>
    <w:rsid w:val="006F0C43"/>
    <w:rsid w:val="006F50A2"/>
    <w:rsid w:val="007073A0"/>
    <w:rsid w:val="007115C6"/>
    <w:rsid w:val="00716120"/>
    <w:rsid w:val="00716676"/>
    <w:rsid w:val="0072015F"/>
    <w:rsid w:val="00723C90"/>
    <w:rsid w:val="00727A8E"/>
    <w:rsid w:val="00735947"/>
    <w:rsid w:val="00736B9D"/>
    <w:rsid w:val="00736BFC"/>
    <w:rsid w:val="007374F7"/>
    <w:rsid w:val="00737E15"/>
    <w:rsid w:val="00743C3C"/>
    <w:rsid w:val="0075155F"/>
    <w:rsid w:val="00751E3F"/>
    <w:rsid w:val="00761322"/>
    <w:rsid w:val="00763585"/>
    <w:rsid w:val="00764F27"/>
    <w:rsid w:val="00770607"/>
    <w:rsid w:val="00772B80"/>
    <w:rsid w:val="00773DA0"/>
    <w:rsid w:val="007817E6"/>
    <w:rsid w:val="00783E64"/>
    <w:rsid w:val="00787BEC"/>
    <w:rsid w:val="0079076D"/>
    <w:rsid w:val="0079143A"/>
    <w:rsid w:val="00793838"/>
    <w:rsid w:val="00793DBE"/>
    <w:rsid w:val="00797D21"/>
    <w:rsid w:val="007A0A96"/>
    <w:rsid w:val="007A0BD0"/>
    <w:rsid w:val="007A187E"/>
    <w:rsid w:val="007A75E6"/>
    <w:rsid w:val="007A7B5A"/>
    <w:rsid w:val="007B064F"/>
    <w:rsid w:val="007B065F"/>
    <w:rsid w:val="007B0C81"/>
    <w:rsid w:val="007B29F3"/>
    <w:rsid w:val="007B55A4"/>
    <w:rsid w:val="007B5E47"/>
    <w:rsid w:val="007C1AE2"/>
    <w:rsid w:val="007C2F60"/>
    <w:rsid w:val="007C4E1E"/>
    <w:rsid w:val="007D4205"/>
    <w:rsid w:val="007D6651"/>
    <w:rsid w:val="007D6A53"/>
    <w:rsid w:val="007D750B"/>
    <w:rsid w:val="007E2006"/>
    <w:rsid w:val="007E3F85"/>
    <w:rsid w:val="007E4AD3"/>
    <w:rsid w:val="007E511A"/>
    <w:rsid w:val="007F4CFB"/>
    <w:rsid w:val="007F4E3D"/>
    <w:rsid w:val="007F76CD"/>
    <w:rsid w:val="008008E1"/>
    <w:rsid w:val="00801919"/>
    <w:rsid w:val="0080479D"/>
    <w:rsid w:val="0081187C"/>
    <w:rsid w:val="008147B3"/>
    <w:rsid w:val="00822FAD"/>
    <w:rsid w:val="008241B9"/>
    <w:rsid w:val="0082420A"/>
    <w:rsid w:val="00825A94"/>
    <w:rsid w:val="00825DB7"/>
    <w:rsid w:val="00827215"/>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0EED"/>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1CCB"/>
    <w:rsid w:val="008A5216"/>
    <w:rsid w:val="008B4EDC"/>
    <w:rsid w:val="008B7303"/>
    <w:rsid w:val="008C5853"/>
    <w:rsid w:val="008C7510"/>
    <w:rsid w:val="008D0820"/>
    <w:rsid w:val="008D4E6E"/>
    <w:rsid w:val="008D5C64"/>
    <w:rsid w:val="008D716F"/>
    <w:rsid w:val="008E4C8E"/>
    <w:rsid w:val="008F6C42"/>
    <w:rsid w:val="00900A08"/>
    <w:rsid w:val="009106DE"/>
    <w:rsid w:val="00923B07"/>
    <w:rsid w:val="00926A9C"/>
    <w:rsid w:val="00927BF5"/>
    <w:rsid w:val="009355A4"/>
    <w:rsid w:val="00936A26"/>
    <w:rsid w:val="00937F48"/>
    <w:rsid w:val="00941001"/>
    <w:rsid w:val="00942D57"/>
    <w:rsid w:val="00945253"/>
    <w:rsid w:val="00947E9E"/>
    <w:rsid w:val="00950E09"/>
    <w:rsid w:val="00951320"/>
    <w:rsid w:val="00951804"/>
    <w:rsid w:val="00952117"/>
    <w:rsid w:val="00952F93"/>
    <w:rsid w:val="00955AB6"/>
    <w:rsid w:val="0096214A"/>
    <w:rsid w:val="00962D34"/>
    <w:rsid w:val="00965A80"/>
    <w:rsid w:val="00971714"/>
    <w:rsid w:val="00973375"/>
    <w:rsid w:val="00977687"/>
    <w:rsid w:val="00977D60"/>
    <w:rsid w:val="0098076B"/>
    <w:rsid w:val="00984ADF"/>
    <w:rsid w:val="0098588E"/>
    <w:rsid w:val="00987953"/>
    <w:rsid w:val="00990506"/>
    <w:rsid w:val="00996760"/>
    <w:rsid w:val="0099751C"/>
    <w:rsid w:val="009A0278"/>
    <w:rsid w:val="009A1E92"/>
    <w:rsid w:val="009A20C5"/>
    <w:rsid w:val="009A5DD7"/>
    <w:rsid w:val="009B1F46"/>
    <w:rsid w:val="009B2477"/>
    <w:rsid w:val="009B6FE0"/>
    <w:rsid w:val="009C12DC"/>
    <w:rsid w:val="009C1605"/>
    <w:rsid w:val="009C1806"/>
    <w:rsid w:val="009C3CA9"/>
    <w:rsid w:val="009C40F7"/>
    <w:rsid w:val="009C46EE"/>
    <w:rsid w:val="009C78AB"/>
    <w:rsid w:val="009D10AB"/>
    <w:rsid w:val="009D2707"/>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25F"/>
    <w:rsid w:val="00A253BA"/>
    <w:rsid w:val="00A25AB5"/>
    <w:rsid w:val="00A2629A"/>
    <w:rsid w:val="00A31B22"/>
    <w:rsid w:val="00A42BBC"/>
    <w:rsid w:val="00A50328"/>
    <w:rsid w:val="00A51A46"/>
    <w:rsid w:val="00A5218C"/>
    <w:rsid w:val="00A52FBB"/>
    <w:rsid w:val="00A5599B"/>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3129"/>
    <w:rsid w:val="00A8676F"/>
    <w:rsid w:val="00A876FD"/>
    <w:rsid w:val="00A90A6E"/>
    <w:rsid w:val="00A91F65"/>
    <w:rsid w:val="00A95E72"/>
    <w:rsid w:val="00AA02D5"/>
    <w:rsid w:val="00AA0C61"/>
    <w:rsid w:val="00AA1A34"/>
    <w:rsid w:val="00AA2F0C"/>
    <w:rsid w:val="00AA5294"/>
    <w:rsid w:val="00AA612F"/>
    <w:rsid w:val="00AB183C"/>
    <w:rsid w:val="00AB189F"/>
    <w:rsid w:val="00AB2C93"/>
    <w:rsid w:val="00AB5139"/>
    <w:rsid w:val="00AC1780"/>
    <w:rsid w:val="00AC74CE"/>
    <w:rsid w:val="00AC7B5D"/>
    <w:rsid w:val="00AD1457"/>
    <w:rsid w:val="00AD42C8"/>
    <w:rsid w:val="00AE1183"/>
    <w:rsid w:val="00AE12AD"/>
    <w:rsid w:val="00AF66C9"/>
    <w:rsid w:val="00AF6EC9"/>
    <w:rsid w:val="00B0273F"/>
    <w:rsid w:val="00B054AC"/>
    <w:rsid w:val="00B0796D"/>
    <w:rsid w:val="00B07B47"/>
    <w:rsid w:val="00B1031C"/>
    <w:rsid w:val="00B20991"/>
    <w:rsid w:val="00B27608"/>
    <w:rsid w:val="00B27788"/>
    <w:rsid w:val="00B335D9"/>
    <w:rsid w:val="00B3375D"/>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B5D28"/>
    <w:rsid w:val="00BB651F"/>
    <w:rsid w:val="00BC06E6"/>
    <w:rsid w:val="00BC086D"/>
    <w:rsid w:val="00BC2F51"/>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2F4E"/>
    <w:rsid w:val="00BE50B9"/>
    <w:rsid w:val="00BF136D"/>
    <w:rsid w:val="00C007F5"/>
    <w:rsid w:val="00C037C8"/>
    <w:rsid w:val="00C14230"/>
    <w:rsid w:val="00C15630"/>
    <w:rsid w:val="00C2556D"/>
    <w:rsid w:val="00C34953"/>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77E51"/>
    <w:rsid w:val="00C802E3"/>
    <w:rsid w:val="00C851B7"/>
    <w:rsid w:val="00C87117"/>
    <w:rsid w:val="00C90EEB"/>
    <w:rsid w:val="00C93AA5"/>
    <w:rsid w:val="00CA7704"/>
    <w:rsid w:val="00CA7E79"/>
    <w:rsid w:val="00CB02FB"/>
    <w:rsid w:val="00CB34F4"/>
    <w:rsid w:val="00CB4873"/>
    <w:rsid w:val="00CB65E0"/>
    <w:rsid w:val="00CC49E6"/>
    <w:rsid w:val="00CC6EC3"/>
    <w:rsid w:val="00CC7EBF"/>
    <w:rsid w:val="00CD2167"/>
    <w:rsid w:val="00CD2217"/>
    <w:rsid w:val="00CD54B3"/>
    <w:rsid w:val="00CD5D13"/>
    <w:rsid w:val="00CD5E46"/>
    <w:rsid w:val="00CD713E"/>
    <w:rsid w:val="00CD7AD2"/>
    <w:rsid w:val="00CE4523"/>
    <w:rsid w:val="00CF2497"/>
    <w:rsid w:val="00CF3596"/>
    <w:rsid w:val="00CF36B6"/>
    <w:rsid w:val="00CF4340"/>
    <w:rsid w:val="00CF4A50"/>
    <w:rsid w:val="00CF75ED"/>
    <w:rsid w:val="00CF79EC"/>
    <w:rsid w:val="00CF7D1B"/>
    <w:rsid w:val="00D02D6A"/>
    <w:rsid w:val="00D0558A"/>
    <w:rsid w:val="00D06BD5"/>
    <w:rsid w:val="00D105D8"/>
    <w:rsid w:val="00D1284F"/>
    <w:rsid w:val="00D1744B"/>
    <w:rsid w:val="00D174A8"/>
    <w:rsid w:val="00D17DC2"/>
    <w:rsid w:val="00D220EC"/>
    <w:rsid w:val="00D27F38"/>
    <w:rsid w:val="00D30ECE"/>
    <w:rsid w:val="00D30EEC"/>
    <w:rsid w:val="00D32979"/>
    <w:rsid w:val="00D35B7A"/>
    <w:rsid w:val="00D3773E"/>
    <w:rsid w:val="00D42487"/>
    <w:rsid w:val="00D42C0A"/>
    <w:rsid w:val="00D44E6D"/>
    <w:rsid w:val="00D464ED"/>
    <w:rsid w:val="00D50E83"/>
    <w:rsid w:val="00D533A8"/>
    <w:rsid w:val="00D539E0"/>
    <w:rsid w:val="00D60A7A"/>
    <w:rsid w:val="00D638FF"/>
    <w:rsid w:val="00D648FF"/>
    <w:rsid w:val="00D651ED"/>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74BA"/>
    <w:rsid w:val="00DE769E"/>
    <w:rsid w:val="00DF19FA"/>
    <w:rsid w:val="00DF2E45"/>
    <w:rsid w:val="00DF5C64"/>
    <w:rsid w:val="00DF6AEE"/>
    <w:rsid w:val="00E013E0"/>
    <w:rsid w:val="00E03F1D"/>
    <w:rsid w:val="00E0460A"/>
    <w:rsid w:val="00E112CE"/>
    <w:rsid w:val="00E1137A"/>
    <w:rsid w:val="00E11ECA"/>
    <w:rsid w:val="00E15448"/>
    <w:rsid w:val="00E159AE"/>
    <w:rsid w:val="00E17D40"/>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83DFA"/>
    <w:rsid w:val="00E844D2"/>
    <w:rsid w:val="00E87909"/>
    <w:rsid w:val="00E87D2D"/>
    <w:rsid w:val="00E9225A"/>
    <w:rsid w:val="00E941CF"/>
    <w:rsid w:val="00E94FA6"/>
    <w:rsid w:val="00E973B8"/>
    <w:rsid w:val="00EA190F"/>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370D"/>
    <w:rsid w:val="00EF077A"/>
    <w:rsid w:val="00EF52C8"/>
    <w:rsid w:val="00EF5503"/>
    <w:rsid w:val="00EF5507"/>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46C93"/>
    <w:rsid w:val="00F56DF5"/>
    <w:rsid w:val="00F64AC0"/>
    <w:rsid w:val="00F65E7E"/>
    <w:rsid w:val="00F71C66"/>
    <w:rsid w:val="00F72EBB"/>
    <w:rsid w:val="00F73A0F"/>
    <w:rsid w:val="00F73BA0"/>
    <w:rsid w:val="00F73F57"/>
    <w:rsid w:val="00F76E05"/>
    <w:rsid w:val="00F825DF"/>
    <w:rsid w:val="00F8266F"/>
    <w:rsid w:val="00F83384"/>
    <w:rsid w:val="00F83B77"/>
    <w:rsid w:val="00F852C4"/>
    <w:rsid w:val="00F86B3A"/>
    <w:rsid w:val="00F86D5B"/>
    <w:rsid w:val="00F86DC3"/>
    <w:rsid w:val="00F901A7"/>
    <w:rsid w:val="00F91132"/>
    <w:rsid w:val="00F95039"/>
    <w:rsid w:val="00FA3415"/>
    <w:rsid w:val="00FA4DA3"/>
    <w:rsid w:val="00FA4E42"/>
    <w:rsid w:val="00FA5A70"/>
    <w:rsid w:val="00FB053D"/>
    <w:rsid w:val="00FB46A5"/>
    <w:rsid w:val="00FB7CF3"/>
    <w:rsid w:val="00FC05B4"/>
    <w:rsid w:val="00FC0BC7"/>
    <w:rsid w:val="00FC1209"/>
    <w:rsid w:val="00FC3BB9"/>
    <w:rsid w:val="00FC43F1"/>
    <w:rsid w:val="00FC4657"/>
    <w:rsid w:val="00FD1A69"/>
    <w:rsid w:val="00FD39C3"/>
    <w:rsid w:val="00FD4395"/>
    <w:rsid w:val="00FD4A54"/>
    <w:rsid w:val="00FD5D4B"/>
    <w:rsid w:val="00FD5FBE"/>
    <w:rsid w:val="00FD6357"/>
    <w:rsid w:val="00FD73B4"/>
    <w:rsid w:val="00FE16CE"/>
    <w:rsid w:val="00FE4540"/>
    <w:rsid w:val="00FE589C"/>
    <w:rsid w:val="00FE5F54"/>
    <w:rsid w:val="00FE62DC"/>
    <w:rsid w:val="00FE7161"/>
    <w:rsid w:val="00FF26F2"/>
    <w:rsid w:val="00FF3180"/>
    <w:rsid w:val="013328AA"/>
    <w:rsid w:val="018D0F17"/>
    <w:rsid w:val="023A5536"/>
    <w:rsid w:val="025B398D"/>
    <w:rsid w:val="02ED1C9E"/>
    <w:rsid w:val="033433D3"/>
    <w:rsid w:val="03396A75"/>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A95281"/>
    <w:rsid w:val="09C60E63"/>
    <w:rsid w:val="0A984BB5"/>
    <w:rsid w:val="0ABB6BEE"/>
    <w:rsid w:val="0AC13FC6"/>
    <w:rsid w:val="0ACC0BD7"/>
    <w:rsid w:val="0B177B03"/>
    <w:rsid w:val="0BC615A2"/>
    <w:rsid w:val="0BE84410"/>
    <w:rsid w:val="0C78283D"/>
    <w:rsid w:val="0D182FCD"/>
    <w:rsid w:val="0D1B5FC6"/>
    <w:rsid w:val="0D572787"/>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6D6E2E"/>
    <w:rsid w:val="15CC6FEB"/>
    <w:rsid w:val="161B22DB"/>
    <w:rsid w:val="164C557B"/>
    <w:rsid w:val="16923101"/>
    <w:rsid w:val="16F44753"/>
    <w:rsid w:val="171E4694"/>
    <w:rsid w:val="17D4504B"/>
    <w:rsid w:val="17EC02EE"/>
    <w:rsid w:val="180528A8"/>
    <w:rsid w:val="183879D7"/>
    <w:rsid w:val="18AA79BA"/>
    <w:rsid w:val="18D3419F"/>
    <w:rsid w:val="194A03C4"/>
    <w:rsid w:val="19532FE4"/>
    <w:rsid w:val="199E4F47"/>
    <w:rsid w:val="19A12DEB"/>
    <w:rsid w:val="19D516F7"/>
    <w:rsid w:val="1A8E7D82"/>
    <w:rsid w:val="1AB01DE5"/>
    <w:rsid w:val="1AE87493"/>
    <w:rsid w:val="1C5550AF"/>
    <w:rsid w:val="1C5759FE"/>
    <w:rsid w:val="1CD16706"/>
    <w:rsid w:val="1D197DFC"/>
    <w:rsid w:val="1D1A5680"/>
    <w:rsid w:val="1D504D89"/>
    <w:rsid w:val="1DE37937"/>
    <w:rsid w:val="1E873B42"/>
    <w:rsid w:val="1EA908B4"/>
    <w:rsid w:val="1FA66331"/>
    <w:rsid w:val="1FB0045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B11E3"/>
    <w:rsid w:val="26E42A84"/>
    <w:rsid w:val="27A24E6D"/>
    <w:rsid w:val="27AD2ECC"/>
    <w:rsid w:val="27C42128"/>
    <w:rsid w:val="28BC1F5F"/>
    <w:rsid w:val="28C50C85"/>
    <w:rsid w:val="28E66AE2"/>
    <w:rsid w:val="29453D02"/>
    <w:rsid w:val="2A0D2069"/>
    <w:rsid w:val="2A6429EA"/>
    <w:rsid w:val="2A76312F"/>
    <w:rsid w:val="2A9211C9"/>
    <w:rsid w:val="2AC8270A"/>
    <w:rsid w:val="2B2F00A1"/>
    <w:rsid w:val="2BB26B40"/>
    <w:rsid w:val="2BCB7DF6"/>
    <w:rsid w:val="2BD32E27"/>
    <w:rsid w:val="2C275941"/>
    <w:rsid w:val="2C2F6AF8"/>
    <w:rsid w:val="2C7174B9"/>
    <w:rsid w:val="2C83526D"/>
    <w:rsid w:val="2CCA11E6"/>
    <w:rsid w:val="2CDE377D"/>
    <w:rsid w:val="2D0D05CB"/>
    <w:rsid w:val="2D5F483D"/>
    <w:rsid w:val="2DA9474E"/>
    <w:rsid w:val="2DB9081B"/>
    <w:rsid w:val="2DD815E9"/>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5220C"/>
    <w:rsid w:val="313D6FEC"/>
    <w:rsid w:val="324F225D"/>
    <w:rsid w:val="32AE3E87"/>
    <w:rsid w:val="32D06680"/>
    <w:rsid w:val="33923FE8"/>
    <w:rsid w:val="33A956CD"/>
    <w:rsid w:val="33FF1D43"/>
    <w:rsid w:val="34B41873"/>
    <w:rsid w:val="352F0261"/>
    <w:rsid w:val="35357F3F"/>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5A1B2F"/>
    <w:rsid w:val="43996CCD"/>
    <w:rsid w:val="43FA23EB"/>
    <w:rsid w:val="441C2F44"/>
    <w:rsid w:val="44A1052F"/>
    <w:rsid w:val="450C2A0D"/>
    <w:rsid w:val="454F7B26"/>
    <w:rsid w:val="456B28EB"/>
    <w:rsid w:val="466955B1"/>
    <w:rsid w:val="4729480B"/>
    <w:rsid w:val="475F22C8"/>
    <w:rsid w:val="483B3D03"/>
    <w:rsid w:val="484C5130"/>
    <w:rsid w:val="486A6AD3"/>
    <w:rsid w:val="48F454BF"/>
    <w:rsid w:val="490948F4"/>
    <w:rsid w:val="497C5C27"/>
    <w:rsid w:val="49B3009B"/>
    <w:rsid w:val="49DE5E98"/>
    <w:rsid w:val="49E40C09"/>
    <w:rsid w:val="4A306DC5"/>
    <w:rsid w:val="4A421B4B"/>
    <w:rsid w:val="4A6F3B8F"/>
    <w:rsid w:val="4A781E06"/>
    <w:rsid w:val="4ACA6ADB"/>
    <w:rsid w:val="4AD4578E"/>
    <w:rsid w:val="4B2F253A"/>
    <w:rsid w:val="4B370BDC"/>
    <w:rsid w:val="4B417145"/>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E44D65"/>
    <w:rsid w:val="53E775E0"/>
    <w:rsid w:val="541F3A4B"/>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317169"/>
    <w:rsid w:val="636D6C72"/>
    <w:rsid w:val="639D001D"/>
    <w:rsid w:val="639D633D"/>
    <w:rsid w:val="63F52BCD"/>
    <w:rsid w:val="648B0ACF"/>
    <w:rsid w:val="648F5856"/>
    <w:rsid w:val="649D69B2"/>
    <w:rsid w:val="64D74B64"/>
    <w:rsid w:val="64E37763"/>
    <w:rsid w:val="65443991"/>
    <w:rsid w:val="65847385"/>
    <w:rsid w:val="65944781"/>
    <w:rsid w:val="65F25313"/>
    <w:rsid w:val="66AC21EA"/>
    <w:rsid w:val="66B23A7E"/>
    <w:rsid w:val="66BF0E71"/>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779423"/>
    <w:rsid w:val="7F7A5966"/>
    <w:rsid w:val="7FB596E7"/>
    <w:rsid w:val="7FBF23DF"/>
    <w:rsid w:val="7FC62B10"/>
    <w:rsid w:val="7FD22643"/>
    <w:rsid w:val="7FDD0524"/>
    <w:rsid w:val="7FE86F49"/>
    <w:rsid w:val="7FF569BE"/>
    <w:rsid w:val="7FF5B658"/>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FD351B"/>
    <w:rsid w:val="FEAF8010"/>
    <w:rsid w:val="FED11FC2"/>
    <w:rsid w:val="FF3FB16A"/>
    <w:rsid w:val="FF75576D"/>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autoRedefine/>
    <w:unhideWhenUsed/>
    <w:qFormat/>
    <w:uiPriority w:val="9"/>
    <w:pPr>
      <w:spacing w:beforeAutospacing="1" w:afterAutospacing="1"/>
      <w:jc w:val="left"/>
      <w:outlineLvl w:val="1"/>
    </w:pPr>
    <w:rPr>
      <w:rFonts w:hint="eastAsia" w:ascii="宋体" w:hAnsi="宋体"/>
      <w:b/>
      <w:kern w:val="0"/>
      <w:sz w:val="36"/>
      <w:szCs w:val="36"/>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Normal Indent"/>
    <w:basedOn w:val="1"/>
    <w:autoRedefine/>
    <w:unhideWhenUsed/>
    <w:qFormat/>
    <w:uiPriority w:val="99"/>
    <w:pPr>
      <w:spacing w:line="360" w:lineRule="auto"/>
      <w:ind w:firstLine="600" w:firstLineChars="200"/>
    </w:pPr>
    <w:rPr>
      <w:rFonts w:ascii="仿宋" w:hAnsi="仿宋" w:eastAsia="仿宋" w:cs="仿宋"/>
      <w:sz w:val="30"/>
      <w:szCs w:val="30"/>
    </w:rPr>
  </w:style>
  <w:style w:type="paragraph" w:styleId="4">
    <w:name w:val="annotation text"/>
    <w:basedOn w:val="1"/>
    <w:link w:val="27"/>
    <w:autoRedefine/>
    <w:unhideWhenUsed/>
    <w:qFormat/>
    <w:uiPriority w:val="99"/>
    <w:pPr>
      <w:jc w:val="left"/>
    </w:pPr>
  </w:style>
  <w:style w:type="paragraph" w:styleId="5">
    <w:name w:val="Body Text"/>
    <w:basedOn w:val="1"/>
    <w:next w:val="1"/>
    <w:autoRedefine/>
    <w:qFormat/>
    <w:uiPriority w:val="0"/>
    <w:pPr>
      <w:spacing w:after="120"/>
    </w:pPr>
  </w:style>
  <w:style w:type="paragraph" w:styleId="6">
    <w:name w:val="Body Text Indent"/>
    <w:basedOn w:val="1"/>
    <w:autoRedefine/>
    <w:qFormat/>
    <w:uiPriority w:val="0"/>
    <w:pPr>
      <w:spacing w:after="120"/>
      <w:ind w:left="420" w:leftChars="200"/>
    </w:pPr>
    <w:rPr>
      <w:rFonts w:asciiTheme="minorHAnsi" w:hAnsiTheme="minorHAnsi" w:eastAsiaTheme="minorEastAsia" w:cstheme="minorBidi"/>
    </w:rPr>
  </w:style>
  <w:style w:type="paragraph" w:styleId="7">
    <w:name w:val="Date"/>
    <w:basedOn w:val="1"/>
    <w:next w:val="1"/>
    <w:link w:val="31"/>
    <w:autoRedefine/>
    <w:semiHidden/>
    <w:unhideWhenUsed/>
    <w:qFormat/>
    <w:uiPriority w:val="99"/>
    <w:pPr>
      <w:ind w:left="100" w:leftChars="2500"/>
    </w:pPr>
  </w:style>
  <w:style w:type="paragraph" w:styleId="8">
    <w:name w:val="Balloon Text"/>
    <w:basedOn w:val="1"/>
    <w:link w:val="26"/>
    <w:autoRedefine/>
    <w:unhideWhenUsed/>
    <w:qFormat/>
    <w:uiPriority w:val="99"/>
    <w:rPr>
      <w:sz w:val="18"/>
      <w:szCs w:val="18"/>
    </w:rPr>
  </w:style>
  <w:style w:type="paragraph" w:styleId="9">
    <w:name w:val="footer"/>
    <w:basedOn w:val="1"/>
    <w:link w:val="22"/>
    <w:autoRedefine/>
    <w:unhideWhenUsed/>
    <w:qFormat/>
    <w:uiPriority w:val="0"/>
    <w:pPr>
      <w:tabs>
        <w:tab w:val="center" w:pos="4153"/>
        <w:tab w:val="right" w:pos="8306"/>
      </w:tabs>
      <w:snapToGrid w:val="0"/>
      <w:jc w:val="left"/>
    </w:pPr>
    <w:rPr>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autoRedefine/>
    <w:qFormat/>
    <w:uiPriority w:val="0"/>
    <w:pPr>
      <w:ind w:left="720"/>
    </w:pPr>
    <w:rPr>
      <w:szCs w:val="20"/>
    </w:rPr>
  </w:style>
  <w:style w:type="paragraph" w:styleId="12">
    <w:name w:val="Body Text 2"/>
    <w:basedOn w:val="1"/>
    <w:autoRedefine/>
    <w:qFormat/>
    <w:uiPriority w:val="99"/>
    <w:pPr>
      <w:spacing w:after="120" w:line="480" w:lineRule="auto"/>
    </w:pPr>
    <w:rPr>
      <w:rFonts w:ascii="Calibri" w:hAnsi="Calibri"/>
    </w:rPr>
  </w:style>
  <w:style w:type="paragraph" w:styleId="13">
    <w:name w:val="Normal (Web)"/>
    <w:basedOn w:val="1"/>
    <w:autoRedefine/>
    <w:qFormat/>
    <w:uiPriority w:val="0"/>
    <w:pPr>
      <w:spacing w:beforeAutospacing="1" w:afterAutospacing="1"/>
      <w:jc w:val="left"/>
    </w:pPr>
    <w:rPr>
      <w:kern w:val="0"/>
      <w:sz w:val="24"/>
    </w:rPr>
  </w:style>
  <w:style w:type="paragraph" w:styleId="14">
    <w:name w:val="annotation subject"/>
    <w:basedOn w:val="4"/>
    <w:next w:val="4"/>
    <w:link w:val="28"/>
    <w:autoRedefine/>
    <w:unhideWhenUsed/>
    <w:qFormat/>
    <w:uiPriority w:val="99"/>
    <w:rPr>
      <w:b/>
      <w:bCs/>
    </w:rPr>
  </w:style>
  <w:style w:type="paragraph" w:styleId="15">
    <w:name w:val="Body Text First Indent 2"/>
    <w:basedOn w:val="6"/>
    <w:autoRedefine/>
    <w:qFormat/>
    <w:uiPriority w:val="0"/>
    <w:pPr>
      <w:ind w:firstLine="420" w:firstLineChars="200"/>
    </w:pPr>
    <w:rPr>
      <w:rFonts w:ascii="Times New Roman"/>
    </w:rPr>
  </w:style>
  <w:style w:type="character" w:styleId="18">
    <w:name w:val="Hyperlink"/>
    <w:autoRedefine/>
    <w:qFormat/>
    <w:uiPriority w:val="0"/>
    <w:rPr>
      <w:color w:val="0000FF"/>
      <w:u w:val="none"/>
    </w:rPr>
  </w:style>
  <w:style w:type="character" w:styleId="19">
    <w:name w:val="annotation reference"/>
    <w:basedOn w:val="17"/>
    <w:autoRedefine/>
    <w:unhideWhenUsed/>
    <w:qFormat/>
    <w:uiPriority w:val="99"/>
    <w:rPr>
      <w:sz w:val="21"/>
      <w:szCs w:val="21"/>
    </w:rPr>
  </w:style>
  <w:style w:type="paragraph" w:customStyle="1" w:styleId="20">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1">
    <w:name w:val="页眉 Char"/>
    <w:basedOn w:val="17"/>
    <w:link w:val="10"/>
    <w:autoRedefine/>
    <w:qFormat/>
    <w:uiPriority w:val="99"/>
    <w:rPr>
      <w:sz w:val="18"/>
      <w:szCs w:val="18"/>
    </w:rPr>
  </w:style>
  <w:style w:type="character" w:customStyle="1" w:styleId="22">
    <w:name w:val="页脚 Char"/>
    <w:basedOn w:val="17"/>
    <w:link w:val="9"/>
    <w:autoRedefine/>
    <w:qFormat/>
    <w:uiPriority w:val="99"/>
    <w:rPr>
      <w:sz w:val="18"/>
      <w:szCs w:val="18"/>
    </w:rPr>
  </w:style>
  <w:style w:type="paragraph" w:customStyle="1" w:styleId="23">
    <w:name w:val="列出段落1"/>
    <w:basedOn w:val="1"/>
    <w:autoRedefine/>
    <w:qFormat/>
    <w:uiPriority w:val="99"/>
    <w:pPr>
      <w:ind w:firstLine="420" w:firstLineChars="200"/>
    </w:pPr>
  </w:style>
  <w:style w:type="character" w:customStyle="1" w:styleId="24">
    <w:name w:val="不明显强调1"/>
    <w:basedOn w:val="17"/>
    <w:autoRedefine/>
    <w:qFormat/>
    <w:uiPriority w:val="19"/>
    <w:rPr>
      <w:i/>
      <w:iCs/>
      <w:color w:val="808080" w:themeColor="text1" w:themeTint="80"/>
      <w14:textFill>
        <w14:solidFill>
          <w14:schemeClr w14:val="tx1">
            <w14:lumMod w14:val="50000"/>
            <w14:lumOff w14:val="50000"/>
          </w14:schemeClr>
        </w14:solidFill>
      </w14:textFill>
    </w:rPr>
  </w:style>
  <w:style w:type="paragraph" w:customStyle="1" w:styleId="25">
    <w:name w:val="样式I"/>
    <w:basedOn w:val="1"/>
    <w:autoRedefine/>
    <w:qFormat/>
    <w:uiPriority w:val="0"/>
    <w:pPr>
      <w:tabs>
        <w:tab w:val="left" w:pos="680"/>
      </w:tabs>
      <w:spacing w:line="360" w:lineRule="auto"/>
      <w:ind w:left="680" w:hanging="680"/>
    </w:pPr>
    <w:rPr>
      <w:rFonts w:ascii="宋体" w:hAnsi="宋体"/>
      <w:b/>
      <w:sz w:val="24"/>
      <w:szCs w:val="20"/>
    </w:rPr>
  </w:style>
  <w:style w:type="character" w:customStyle="1" w:styleId="26">
    <w:name w:val="批注框文本 Char"/>
    <w:basedOn w:val="17"/>
    <w:link w:val="8"/>
    <w:autoRedefine/>
    <w:semiHidden/>
    <w:qFormat/>
    <w:uiPriority w:val="99"/>
    <w:rPr>
      <w:kern w:val="2"/>
      <w:sz w:val="18"/>
      <w:szCs w:val="18"/>
    </w:rPr>
  </w:style>
  <w:style w:type="character" w:customStyle="1" w:styleId="27">
    <w:name w:val="批注文字 Char"/>
    <w:basedOn w:val="17"/>
    <w:link w:val="4"/>
    <w:autoRedefine/>
    <w:semiHidden/>
    <w:qFormat/>
    <w:uiPriority w:val="99"/>
    <w:rPr>
      <w:kern w:val="2"/>
      <w:sz w:val="21"/>
      <w:szCs w:val="24"/>
    </w:rPr>
  </w:style>
  <w:style w:type="character" w:customStyle="1" w:styleId="28">
    <w:name w:val="批注主题 Char"/>
    <w:basedOn w:val="27"/>
    <w:link w:val="14"/>
    <w:autoRedefine/>
    <w:semiHidden/>
    <w:qFormat/>
    <w:uiPriority w:val="99"/>
    <w:rPr>
      <w:b/>
      <w:bCs/>
      <w:kern w:val="2"/>
      <w:sz w:val="21"/>
      <w:szCs w:val="24"/>
    </w:rPr>
  </w:style>
  <w:style w:type="paragraph" w:customStyle="1" w:styleId="29">
    <w:name w:val="列出段落2"/>
    <w:basedOn w:val="1"/>
    <w:autoRedefine/>
    <w:qFormat/>
    <w:uiPriority w:val="99"/>
    <w:pPr>
      <w:ind w:firstLine="420" w:firstLineChars="200"/>
    </w:pPr>
  </w:style>
  <w:style w:type="paragraph" w:styleId="30">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1">
    <w:name w:val="日期 Char"/>
    <w:basedOn w:val="17"/>
    <w:link w:val="7"/>
    <w:autoRedefine/>
    <w:semiHidden/>
    <w:qFormat/>
    <w:uiPriority w:val="99"/>
    <w:rPr>
      <w:kern w:val="2"/>
      <w:sz w:val="21"/>
      <w:szCs w:val="24"/>
    </w:rPr>
  </w:style>
  <w:style w:type="character" w:customStyle="1" w:styleId="32">
    <w:name w:val="标题 2 Char"/>
    <w:link w:val="2"/>
    <w:qFormat/>
    <w:uiPriority w:val="9"/>
    <w:rPr>
      <w:rFonts w:ascii="宋体" w:hAnsi="宋体"/>
      <w:b/>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6012</Words>
  <Characters>6455</Characters>
  <Lines>52</Lines>
  <Paragraphs>14</Paragraphs>
  <TotalTime>46</TotalTime>
  <ScaleCrop>false</ScaleCrop>
  <LinksUpToDate>false</LinksUpToDate>
  <CharactersWithSpaces>7120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2021-12-25T22:17:00Z</dcterms:created>
  <dc:creator>刘海燕</dc:creator>
  <cp:lastModifiedBy>雪 饼 "</cp:lastModifiedBy>
  <dcterms:modified xsi:type="dcterms:W3CDTF">2024-08-22T01:01:35Z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EC2164598FFD4EC19356ED42E4FC9297</vt:lpwstr>
  </property>
</Properties>
</file>