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蒙牛乳业常温银川工厂污水厂第三方运营项目</w:t>
      </w:r>
    </w:p>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就蒙牛乳业常温银川工厂污水厂第三方运营项目进行竞争性谈判,欢迎符合资格条件的竞谈人参加。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ascii="仿宋" w:hAnsi="仿宋" w:eastAsia="仿宋" w:cs="仿宋"/>
          <w:b/>
          <w:kern w:val="0"/>
          <w:sz w:val="28"/>
          <w:szCs w:val="28"/>
        </w:rPr>
        <w:t>MNCGJH-20240820-0006</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sz w:val="28"/>
          <w:szCs w:val="28"/>
        </w:rPr>
        <w:t>蒙牛乳业常温银川工厂污水厂第三方运营项目</w:t>
      </w:r>
    </w:p>
    <w:p>
      <w:pPr>
        <w:widowControl/>
        <w:numPr>
          <w:ilvl w:val="0"/>
          <w:numId w:val="1"/>
        </w:numPr>
        <w:shd w:val="clear" w:color="auto" w:fill="FFFFFF"/>
        <w:adjustRightInd w:val="0"/>
        <w:snapToGrid w:val="0"/>
        <w:spacing w:line="360" w:lineRule="auto"/>
        <w:ind w:firstLine="549" w:firstLineChars="196"/>
        <w:rPr>
          <w:rFonts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银川工厂现有污水处理设施一套，污水处理量最多可达3800吨/日，现准备采用第三方建设运营的模式（ROT）,将污水处理厂日处理能力扩至到5000吨/日，同时将基础设施建设至7000吨/日，在15年内由第三方运营管理，使用单位按污水处理量交纳污水处理费。</w:t>
      </w:r>
    </w:p>
    <w:p>
      <w:pPr>
        <w:adjustRightInd w:val="0"/>
        <w:snapToGrid w:val="0"/>
        <w:spacing w:line="360" w:lineRule="auto"/>
        <w:ind w:firstLine="561"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1、竞谈人必须是在中华人民共和国境内注册的具有独立法人资格的企业单位；</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2、竞谈人须具有建设行政主管部门颁发的通用专业承包资质 (以上资质为住建部最新资质要求《住房和城乡建设部关于印发建设工程企业资质管理制度改革方案的通知》)。如竞谈人还未申办以上资质，需具有建设行政主管部门颁发的环保工程专业承包贰级及以上资质，且资质证书在有效期内；</w:t>
      </w:r>
    </w:p>
    <w:p>
      <w:pPr>
        <w:pStyle w:val="3"/>
        <w:spacing w:line="360" w:lineRule="auto"/>
        <w:ind w:firstLine="56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、竞谈人拟派项目经理须为在本企业的注册建造师，具备贰级及以上注册建造师执业资格和有效的安全生产考核合格证书；</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4、竞谈人须具有有效的安全生产许可证；</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5、竞谈人须具有一般纳税人认定资格证明材料；</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6、竞谈人20</w:t>
      </w:r>
      <w:r>
        <w:rPr>
          <w:rFonts w:ascii="仿宋" w:hAnsi="仿宋" w:eastAsia="仿宋" w:cs="仿宋"/>
          <w:sz w:val="28"/>
          <w:szCs w:val="28"/>
        </w:rPr>
        <w:t>19</w:t>
      </w:r>
      <w:r>
        <w:rPr>
          <w:rFonts w:hint="eastAsia" w:ascii="仿宋" w:hAnsi="仿宋" w:eastAsia="仿宋" w:cs="仿宋"/>
          <w:sz w:val="28"/>
          <w:szCs w:val="28"/>
        </w:rPr>
        <w:t>年1月1日至今需具有从事环境污染治理设施（工业废水治理）的相关业绩，具体业绩要求如下：</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①业绩为配套新建污水处理系统或BOT或ROT项目；②数量不少于2个，单系统污水处理量≥2500吨/日的项目；并其中，至少1个项目业绩为乳业</w:t>
      </w:r>
      <w:r>
        <w:rPr>
          <w:rFonts w:hint="eastAsia" w:ascii="仿宋" w:hAnsi="仿宋" w:eastAsia="仿宋" w:cs="仿宋"/>
          <w:sz w:val="28"/>
          <w:szCs w:val="28"/>
          <w:woUserID w:val="1"/>
        </w:rPr>
        <w:t>（包括液体乳、乳粉、炼乳、干酪、发酵乳、复原乳</w:t>
      </w:r>
      <w:r>
        <w:rPr>
          <w:rFonts w:hint="default" w:ascii="仿宋" w:hAnsi="仿宋" w:eastAsia="仿宋" w:cs="仿宋"/>
          <w:sz w:val="28"/>
          <w:szCs w:val="28"/>
          <w:woUserID w:val="1"/>
        </w:rPr>
        <w:t>）、</w:t>
      </w:r>
      <w:r>
        <w:rPr>
          <w:rFonts w:hint="eastAsia" w:ascii="仿宋" w:hAnsi="仿宋" w:eastAsia="仿宋" w:cs="仿宋"/>
          <w:sz w:val="28"/>
          <w:szCs w:val="28"/>
          <w:woUserID w:val="1"/>
        </w:rPr>
        <w:t>酒精或酒企业、调味品企业、食用油企业、预制菜企业、屠宰企业</w:t>
      </w:r>
      <w:r>
        <w:rPr>
          <w:rFonts w:hint="eastAsia" w:ascii="仿宋" w:hAnsi="仿宋" w:eastAsia="仿宋" w:cs="仿宋"/>
          <w:sz w:val="28"/>
          <w:szCs w:val="28"/>
        </w:rPr>
        <w:t>废水治理、生产加工工厂配套污水厂新建项目或BOT项目</w:t>
      </w:r>
      <w:r>
        <w:rPr>
          <w:rFonts w:hint="eastAsia" w:ascii="仿宋" w:hAnsi="仿宋" w:eastAsia="仿宋" w:cs="仿宋"/>
          <w:sz w:val="28"/>
          <w:szCs w:val="28"/>
          <w:woUserID w:val="1"/>
        </w:rPr>
        <w:t>或ROT项目</w:t>
      </w:r>
      <w:r>
        <w:rPr>
          <w:rFonts w:hint="eastAsia" w:ascii="仿宋" w:hAnsi="仿宋" w:eastAsia="仿宋" w:cs="仿宋"/>
          <w:sz w:val="28"/>
          <w:szCs w:val="28"/>
        </w:rPr>
        <w:t>；③业绩证明材料均以合同为准。</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7、竞谈人2021至2023年须具有经第三方审计的财务报告；</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8、竞谈人2023年1月1日至今须具有任意三个月的单位依法纳税证明材料和社保缴纳证明材料</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9、竞谈人未被列入国家企业信用信息公示系统（http://www.gsxt.gov.cn/index.html）严重违法失信企业名单；</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10、竞谈人在“中华人民共和国应急管理部（https://www.mem.gov.cn/）”近一年内无公开曝光的安全事件；</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12、本次竞谈不接受联合体竞谈，不允许分包和转包；</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13、不接受中粮及蒙牛竞谈人黑名单（以蒙牛集团下发的黑名单为准）的企业参与竞争。</w:t>
      </w:r>
    </w:p>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pPr>
        <w:numPr>
          <w:ilvl w:val="0"/>
          <w:numId w:val="2"/>
        </w:numPr>
        <w:tabs>
          <w:tab w:val="center" w:pos="4873"/>
        </w:tabs>
        <w:adjustRightInd w:val="0"/>
        <w:snapToGrid w:val="0"/>
        <w:spacing w:line="360" w:lineRule="auto"/>
        <w:ind w:firstLine="560"/>
        <w:jc w:val="left"/>
        <w:rPr>
          <w:rFonts w:ascii="仿宋" w:hAnsi="仿宋" w:eastAsia="仿宋" w:cs="仿宋"/>
          <w:sz w:val="28"/>
          <w:szCs w:val="28"/>
        </w:rPr>
      </w:pPr>
      <w:r>
        <w:rPr>
          <w:rFonts w:hint="eastAsia" w:ascii="仿宋" w:hAnsi="仿宋" w:eastAsia="仿宋" w:cs="仿宋"/>
          <w:sz w:val="28"/>
          <w:szCs w:val="28"/>
        </w:rPr>
        <w:t>提供建设行政主管部门颁发的通用专业承包资质证书 (以上资质为住建部最新资质要求《住房和城乡建设部关于印发建设工程企业资质管理制度改革方案的通知》)。如竞谈人还未申办以上资质，需提供建设行政主管部门颁发的环保工程专业承包贰级及以上资质证书，且资质证书在有效期内；</w:t>
      </w:r>
    </w:p>
    <w:p>
      <w:pPr>
        <w:numPr>
          <w:ilvl w:val="0"/>
          <w:numId w:val="2"/>
        </w:num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拟派项目经理须为在本企业注册的专业贰级及以上注册建造师证书和有效的安全生产考核合格证；且未在其他在建工程项目任职证明材料；</w:t>
      </w:r>
    </w:p>
    <w:p>
      <w:pPr>
        <w:numPr>
          <w:ilvl w:val="0"/>
          <w:numId w:val="2"/>
        </w:num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提供有效的安全生产许可证；</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（6）提供一般纳税人认定资格证明材料及提供之前开过的税率为6%的一张发票复印件；</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（7）提供20</w:t>
      </w:r>
      <w:r>
        <w:rPr>
          <w:rFonts w:ascii="仿宋" w:hAnsi="仿宋" w:eastAsia="仿宋" w:cs="仿宋"/>
          <w:sz w:val="28"/>
          <w:szCs w:val="28"/>
        </w:rPr>
        <w:t>19</w:t>
      </w:r>
      <w:r>
        <w:rPr>
          <w:rFonts w:hint="eastAsia" w:ascii="仿宋" w:hAnsi="仿宋" w:eastAsia="仿宋" w:cs="仿宋"/>
          <w:sz w:val="28"/>
          <w:szCs w:val="28"/>
        </w:rPr>
        <w:t>年1月1日至今从事环境污染治理设施（工业废水治理）的相关业绩，具体业绩要求如下：</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①业绩为配套新建污水处理系统或BOT或ROT项目；②数量不少于2个，单系统污水处理量≥2500吨/日的项目；并其中，</w:t>
      </w:r>
      <w:r>
        <w:rPr>
          <w:rFonts w:hint="eastAsia" w:ascii="仿宋" w:hAnsi="仿宋" w:eastAsia="仿宋" w:cs="仿宋"/>
          <w:sz w:val="28"/>
          <w:szCs w:val="28"/>
          <w:woUserID w:val="1"/>
        </w:rPr>
        <w:t>至少1个项目业绩为乳业（包括液体乳、乳粉、炼乳、干酪、发酵乳、复原乳</w:t>
      </w:r>
      <w:r>
        <w:rPr>
          <w:rFonts w:hint="default" w:ascii="仿宋" w:hAnsi="仿宋" w:eastAsia="仿宋" w:cs="仿宋"/>
          <w:sz w:val="28"/>
          <w:szCs w:val="28"/>
          <w:woUserID w:val="1"/>
        </w:rPr>
        <w:t>）、</w:t>
      </w:r>
      <w:r>
        <w:rPr>
          <w:rFonts w:hint="eastAsia" w:ascii="仿宋" w:hAnsi="仿宋" w:eastAsia="仿宋" w:cs="仿宋"/>
          <w:sz w:val="28"/>
          <w:szCs w:val="28"/>
          <w:woUserID w:val="1"/>
        </w:rPr>
        <w:t>酒精或酒企业、调味品企业、食用油企业、预制菜企业、屠宰企业废水治理、生产加工工厂配套污水厂新建项目或BOT项目或ROT项目</w:t>
      </w:r>
      <w:r>
        <w:rPr>
          <w:rFonts w:hint="eastAsia" w:ascii="仿宋" w:hAnsi="仿宋" w:eastAsia="仿宋" w:cs="仿宋"/>
          <w:sz w:val="28"/>
          <w:szCs w:val="28"/>
        </w:rPr>
        <w:t>；③业绩证明材料均以合同为准。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（8）提供本企业2021至2023年第三方财务审计报告。（包含资产负债表、利润表、现金流量表）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（9）提供2023年1月1日至今须具有任意三个月的单位依法纳税证明材料和社保缴纳证明材料；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（11）提供在“中华人民共和国应急管理部（https://www.mem.gov.cn/）”近一年内无公开曝光的安全事件证明材料；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（12）提供非联合体形式参与及如中标本项目不进行分包或转包承诺书。</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（13）保密承诺书（附件2）。</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1"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1、报名时间：2024年08月</w:t>
      </w:r>
      <w:r>
        <w:rPr>
          <w:rFonts w:ascii="仿宋" w:hAnsi="仿宋" w:eastAsia="仿宋" w:cs="仿宋"/>
          <w:sz w:val="28"/>
          <w:szCs w:val="28"/>
        </w:rPr>
        <w:t>23</w:t>
      </w:r>
      <w:r>
        <w:rPr>
          <w:rFonts w:hint="eastAsia" w:ascii="仿宋" w:hAnsi="仿宋" w:eastAsia="仿宋" w:cs="仿宋"/>
          <w:sz w:val="28"/>
          <w:szCs w:val="28"/>
        </w:rPr>
        <w:t>日至2024年</w:t>
      </w:r>
      <w:r>
        <w:rPr>
          <w:rFonts w:ascii="仿宋" w:hAnsi="仿宋" w:eastAsia="仿宋" w:cs="仿宋"/>
          <w:sz w:val="28"/>
          <w:szCs w:val="28"/>
        </w:rPr>
        <w:t>09</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2、资格预审时间：2024年08月</w:t>
      </w:r>
      <w:r>
        <w:rPr>
          <w:rFonts w:hint="default" w:ascii="仿宋" w:hAnsi="仿宋" w:eastAsia="仿宋" w:cs="仿宋"/>
          <w:sz w:val="28"/>
          <w:szCs w:val="28"/>
          <w:woUserID w:val="2"/>
        </w:rPr>
        <w:t>23</w:t>
      </w:r>
      <w:bookmarkStart w:id="0" w:name="_GoBack"/>
      <w:bookmarkEnd w:id="0"/>
      <w:r>
        <w:rPr>
          <w:rFonts w:hint="eastAsia" w:ascii="仿宋" w:hAnsi="仿宋" w:eastAsia="仿宋" w:cs="仿宋"/>
          <w:sz w:val="28"/>
          <w:szCs w:val="28"/>
        </w:rPr>
        <w:t>日至2024年</w:t>
      </w:r>
      <w:r>
        <w:rPr>
          <w:rFonts w:ascii="仿宋" w:hAnsi="仿宋" w:eastAsia="仿宋" w:cs="仿宋"/>
          <w:sz w:val="28"/>
          <w:szCs w:val="28"/>
        </w:rPr>
        <w:t>09</w:t>
      </w:r>
      <w:r>
        <w:rPr>
          <w:rFonts w:hint="eastAsia" w:ascii="仿宋" w:hAnsi="仿宋" w:eastAsia="仿宋" w:cs="仿宋"/>
          <w:sz w:val="28"/>
          <w:szCs w:val="28"/>
        </w:rPr>
        <w:t>月</w:t>
      </w:r>
      <w:r>
        <w:rPr>
          <w:rFonts w:ascii="仿宋" w:hAnsi="仿宋" w:eastAsia="仿宋" w:cs="仿宋"/>
          <w:sz w:val="28"/>
          <w:szCs w:val="28"/>
        </w:rPr>
        <w:t>03</w:t>
      </w:r>
      <w:r>
        <w:rPr>
          <w:rFonts w:hint="eastAsia" w:ascii="仿宋" w:hAnsi="仿宋" w:eastAsia="仿宋" w:cs="仿宋"/>
          <w:sz w:val="28"/>
          <w:szCs w:val="28"/>
        </w:rPr>
        <w:t>日12时；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3、谈判文件发售时间：2024年09月04日至2024年</w:t>
      </w:r>
      <w:r>
        <w:rPr>
          <w:rFonts w:ascii="仿宋" w:hAnsi="仿宋" w:eastAsia="仿宋" w:cs="仿宋"/>
          <w:sz w:val="28"/>
          <w:szCs w:val="28"/>
        </w:rPr>
        <w:t>09</w:t>
      </w:r>
      <w:r>
        <w:rPr>
          <w:rFonts w:hint="eastAsia" w:ascii="仿宋" w:hAnsi="仿宋" w:eastAsia="仿宋" w:cs="仿宋"/>
          <w:sz w:val="28"/>
          <w:szCs w:val="28"/>
        </w:rPr>
        <w:t>月</w:t>
      </w:r>
      <w:r>
        <w:rPr>
          <w:rFonts w:ascii="仿宋" w:hAnsi="仿宋" w:eastAsia="仿宋" w:cs="仿宋"/>
          <w:sz w:val="28"/>
          <w:szCs w:val="28"/>
        </w:rPr>
        <w:t>0</w:t>
      </w:r>
      <w:r>
        <w:rPr>
          <w:rFonts w:hint="eastAsia" w:ascii="仿宋" w:hAnsi="仿宋" w:eastAsia="仿宋" w:cs="仿宋"/>
          <w:sz w:val="28"/>
          <w:szCs w:val="28"/>
        </w:rPr>
        <w:t>6日19时发售谈判文件，谈判文件每套售价：人民币</w:t>
      </w:r>
      <w:r>
        <w:rPr>
          <w:rFonts w:ascii="仿宋" w:hAnsi="仿宋" w:eastAsia="仿宋" w:cs="仿宋"/>
          <w:sz w:val="28"/>
          <w:szCs w:val="28"/>
          <w:u w:val="single"/>
        </w:rPr>
        <w:t>100</w:t>
      </w:r>
      <w:r>
        <w:rPr>
          <w:rFonts w:hint="eastAsia" w:ascii="仿宋" w:hAnsi="仿宋" w:eastAsia="仿宋" w:cs="仿宋"/>
          <w:sz w:val="28"/>
          <w:szCs w:val="28"/>
          <w:u w:val="single"/>
        </w:rPr>
        <w:t>0</w:t>
      </w:r>
      <w:r>
        <w:rPr>
          <w:rFonts w:hint="eastAsia" w:ascii="仿宋" w:hAnsi="仿宋" w:eastAsia="仿宋" w:cs="仿宋"/>
          <w:sz w:val="28"/>
          <w:szCs w:val="28"/>
        </w:rPr>
        <w:t>元（仅支持对公转账），售后不退（汇款后将回执扫描后上传至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开户银行账号：592120100100101521</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开户银行行号：J1910033908301</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4、谈判时间：2024年</w:t>
      </w:r>
      <w:r>
        <w:rPr>
          <w:rFonts w:ascii="仿宋" w:hAnsi="仿宋" w:eastAsia="仿宋" w:cs="仿宋"/>
          <w:sz w:val="28"/>
          <w:szCs w:val="28"/>
        </w:rPr>
        <w:t>09</w:t>
      </w:r>
      <w:r>
        <w:rPr>
          <w:rFonts w:hint="eastAsia" w:ascii="仿宋" w:hAnsi="仿宋" w:eastAsia="仿宋" w:cs="仿宋"/>
          <w:sz w:val="28"/>
          <w:szCs w:val="28"/>
        </w:rPr>
        <w:t>月</w:t>
      </w:r>
      <w:r>
        <w:rPr>
          <w:rFonts w:ascii="仿宋" w:hAnsi="仿宋" w:eastAsia="仿宋" w:cs="仿宋"/>
          <w:sz w:val="28"/>
          <w:szCs w:val="28"/>
        </w:rPr>
        <w:t>20</w:t>
      </w:r>
      <w:r>
        <w:rPr>
          <w:rFonts w:hint="eastAsia" w:ascii="仿宋" w:hAnsi="仿宋" w:eastAsia="仿宋" w:cs="仿宋"/>
          <w:sz w:val="28"/>
          <w:szCs w:val="28"/>
        </w:rPr>
        <w:t>日09时30分（以发出的谈判文件为准）</w:t>
      </w:r>
    </w:p>
    <w:p>
      <w:pPr>
        <w:spacing w:line="360" w:lineRule="auto"/>
        <w:ind w:firstLine="561"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中国招标投标公共服务平台（http://www.cebpubservice.com/）</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业务咨询联系人：经晓杰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r>
        <w:rPr>
          <w:rFonts w:ascii="仿宋" w:hAnsi="仿宋" w:eastAsia="仿宋" w:cs="仿宋"/>
          <w:sz w:val="28"/>
          <w:szCs w:val="28"/>
        </w:rPr>
        <w:t>18686078833</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十、采购代理公司及联系方式：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报名联系人：郭宇飞（13474917016）/丁桠楠（13847197935）王子刚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联系电话：0471-3957849/4918085分机号：8023</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rPr>
        <w:t>guoyufei@nmghuasheng.com</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监督单位：内蒙古蒙牛乳业（集团）股份有限公司采购招标管理部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人:薛海燕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联系电话：0471-7393642/监督人电话：15034952008</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w:t>
      </w:r>
      <w:r>
        <w:rPr>
          <w:rFonts w:ascii="仿宋" w:hAnsi="仿宋" w:eastAsia="仿宋" w:cs="仿宋"/>
          <w:sz w:val="28"/>
          <w:szCs w:val="28"/>
        </w:rPr>
        <w:t>08</w:t>
      </w:r>
      <w:r>
        <w:rPr>
          <w:rFonts w:hint="eastAsia" w:ascii="仿宋" w:hAnsi="仿宋" w:eastAsia="仿宋" w:cs="仿宋"/>
          <w:sz w:val="28"/>
          <w:szCs w:val="28"/>
        </w:rPr>
        <w:t>月</w:t>
      </w:r>
      <w:r>
        <w:rPr>
          <w:rFonts w:ascii="仿宋" w:hAnsi="仿宋" w:eastAsia="仿宋" w:cs="仿宋"/>
          <w:sz w:val="28"/>
          <w:szCs w:val="28"/>
        </w:rPr>
        <w:t>22</w:t>
      </w:r>
      <w:r>
        <w:rPr>
          <w:rFonts w:hint="eastAsia" w:ascii="仿宋" w:hAnsi="仿宋" w:eastAsia="仿宋" w:cs="仿宋"/>
          <w:sz w:val="28"/>
          <w:szCs w:val="28"/>
        </w:rPr>
        <w:t>日</w:t>
      </w:r>
    </w:p>
    <w:p>
      <w:pPr>
        <w:widowControl/>
        <w:jc w:val="left"/>
        <w:rPr>
          <w:rFonts w:ascii="仿宋" w:hAnsi="仿宋" w:eastAsia="仿宋" w:cs="仿宋"/>
          <w:sz w:val="28"/>
          <w:szCs w:val="28"/>
        </w:rPr>
      </w:pPr>
      <w:r>
        <w:rPr>
          <w:rFonts w:ascii="仿宋" w:hAnsi="仿宋" w:eastAsia="仿宋" w:cs="仿宋"/>
          <w:sz w:val="28"/>
          <w:szCs w:val="28"/>
        </w:rPr>
        <w:br w:type="page"/>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竞谈人名称：</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竞 谈 人 全 称</w:t>
      </w:r>
      <w:r>
        <w:rPr>
          <w:rFonts w:hint="eastAsia" w:ascii="仿宋" w:hAnsi="仿宋" w:eastAsia="仿宋" w:cs="仿宋"/>
          <w:sz w:val="28"/>
          <w:szCs w:val="28"/>
        </w:rPr>
        <w:t>的法定代表人。</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2024年  月  日    </w:t>
      </w:r>
    </w:p>
    <w:p>
      <w:pPr>
        <w:spacing w:line="360" w:lineRule="auto"/>
        <w:ind w:firstLine="989"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i/>
          <w:sz w:val="24"/>
          <w:shd w:val="clear" w:color="auto" w:fill="FFFFFF"/>
        </w:rPr>
      </w:pPr>
      <w:r>
        <w:rPr>
          <w:rFonts w:hint="eastAsia" w:ascii="仿宋" w:hAnsi="仿宋" w:eastAsia="仿宋" w:cs="仿宋"/>
          <w:i/>
          <w:sz w:val="24"/>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pPr>
        <w:spacing w:line="360" w:lineRule="auto"/>
        <w:ind w:firstLine="635" w:firstLineChars="227"/>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pPr>
        <w:pStyle w:val="6"/>
        <w:spacing w:line="360" w:lineRule="auto"/>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pPr>
        <w:pStyle w:val="6"/>
        <w:spacing w:line="360" w:lineRule="auto"/>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pPr>
        <w:pStyle w:val="5"/>
        <w:spacing w:after="0"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（一）合规条款</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pPr>
        <w:pStyle w:val="5"/>
        <w:spacing w:after="0"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十一、适用法律</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1"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pPr>
        <w:widowControl/>
        <w:jc w:val="left"/>
        <w:rPr>
          <w:rFonts w:ascii="仿宋" w:hAnsi="仿宋" w:eastAsia="仿宋" w:cs="仿宋"/>
          <w:kern w:val="0"/>
          <w:sz w:val="28"/>
          <w:szCs w:val="28"/>
        </w:rPr>
      </w:pPr>
      <w:r>
        <w:rPr>
          <w:rFonts w:ascii="仿宋" w:hAnsi="仿宋" w:eastAsia="仿宋" w:cs="仿宋"/>
          <w:kern w:val="0"/>
          <w:sz w:val="28"/>
          <w:szCs w:val="28"/>
        </w:rPr>
        <w:br w:type="page"/>
      </w:r>
    </w:p>
    <w:p>
      <w:pPr>
        <w:spacing w:line="360" w:lineRule="auto"/>
        <w:ind w:firstLine="561" w:firstLineChars="20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pPr>
        <w:pStyle w:val="5"/>
        <w:overflowPunct w:val="0"/>
        <w:spacing w:line="360" w:lineRule="auto"/>
        <w:ind w:left="5250"/>
        <w:rPr>
          <w:rFonts w:hAnsi="仿宋"/>
          <w:sz w:val="24"/>
        </w:rPr>
      </w:pP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w:t>
      </w: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项目(招标项目编号:            )"项目，我公司未采取联合体形式参与本项目竞谈，承诺中标后不分包或转包。</w:t>
      </w: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p>
    <w:p>
      <w:pPr>
        <w:pStyle w:val="5"/>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pPr>
        <w:pStyle w:val="5"/>
        <w:overflowPunct w:val="0"/>
        <w:spacing w:line="360" w:lineRule="auto"/>
        <w:jc w:val="right"/>
        <w:rPr>
          <w:rFonts w:ascii="仿宋" w:hAnsi="仿宋" w:eastAsia="仿宋" w:cs="仿宋"/>
          <w:kern w:val="0"/>
          <w:sz w:val="28"/>
          <w:szCs w:val="28"/>
        </w:rPr>
      </w:pPr>
    </w:p>
    <w:p>
      <w:pPr>
        <w:pStyle w:val="5"/>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xx公司</w:t>
      </w:r>
    </w:p>
    <w:p>
      <w:pPr>
        <w:pStyle w:val="5"/>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xx日期</w:t>
      </w:r>
    </w:p>
    <w:p>
      <w:pPr>
        <w:widowControl/>
        <w:adjustRightInd w:val="0"/>
        <w:snapToGrid w:val="0"/>
        <w:spacing w:line="360" w:lineRule="auto"/>
        <w:textAlignment w:val="baseline"/>
        <w:rPr>
          <w:rFonts w:ascii="仿宋" w:hAnsi="仿宋" w:eastAsia="仿宋" w:cs="仿宋"/>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E080D"/>
    <w:multiLevelType w:val="singleLevel"/>
    <w:tmpl w:val="FADE080D"/>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876"/>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08D9"/>
    <w:rsid w:val="00104028"/>
    <w:rsid w:val="0010758A"/>
    <w:rsid w:val="00107F38"/>
    <w:rsid w:val="00111858"/>
    <w:rsid w:val="00112732"/>
    <w:rsid w:val="00115B80"/>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D32"/>
    <w:rsid w:val="00201F28"/>
    <w:rsid w:val="0020789D"/>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4E8E"/>
    <w:rsid w:val="002B593B"/>
    <w:rsid w:val="002B5F4F"/>
    <w:rsid w:val="002B6BE1"/>
    <w:rsid w:val="002B78D9"/>
    <w:rsid w:val="002C2C67"/>
    <w:rsid w:val="002C408F"/>
    <w:rsid w:val="002C52ED"/>
    <w:rsid w:val="002C628F"/>
    <w:rsid w:val="002D3226"/>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1803"/>
    <w:rsid w:val="005234FF"/>
    <w:rsid w:val="00524997"/>
    <w:rsid w:val="0053059A"/>
    <w:rsid w:val="00530C62"/>
    <w:rsid w:val="00532BB0"/>
    <w:rsid w:val="00532DAA"/>
    <w:rsid w:val="00532F94"/>
    <w:rsid w:val="00534096"/>
    <w:rsid w:val="00535675"/>
    <w:rsid w:val="005358A8"/>
    <w:rsid w:val="00535C2F"/>
    <w:rsid w:val="0053778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5E3"/>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4D81"/>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50A2"/>
    <w:rsid w:val="007073A0"/>
    <w:rsid w:val="007115C6"/>
    <w:rsid w:val="00716120"/>
    <w:rsid w:val="00716676"/>
    <w:rsid w:val="0072015F"/>
    <w:rsid w:val="00723C90"/>
    <w:rsid w:val="007270AB"/>
    <w:rsid w:val="00727A8E"/>
    <w:rsid w:val="00735947"/>
    <w:rsid w:val="00736B9D"/>
    <w:rsid w:val="00736BFC"/>
    <w:rsid w:val="007374F7"/>
    <w:rsid w:val="00743C3C"/>
    <w:rsid w:val="0075155F"/>
    <w:rsid w:val="00751E3F"/>
    <w:rsid w:val="00761322"/>
    <w:rsid w:val="00763585"/>
    <w:rsid w:val="00764F27"/>
    <w:rsid w:val="00770607"/>
    <w:rsid w:val="00770A64"/>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4012"/>
    <w:rsid w:val="00835D0F"/>
    <w:rsid w:val="00845113"/>
    <w:rsid w:val="008451E9"/>
    <w:rsid w:val="00845CCD"/>
    <w:rsid w:val="008539FF"/>
    <w:rsid w:val="008564B2"/>
    <w:rsid w:val="00861039"/>
    <w:rsid w:val="00861F24"/>
    <w:rsid w:val="00861F4B"/>
    <w:rsid w:val="00862E95"/>
    <w:rsid w:val="00864375"/>
    <w:rsid w:val="008653DD"/>
    <w:rsid w:val="008658C6"/>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14E"/>
    <w:rsid w:val="008A5216"/>
    <w:rsid w:val="008B4EDC"/>
    <w:rsid w:val="008B7303"/>
    <w:rsid w:val="008C5853"/>
    <w:rsid w:val="008C7510"/>
    <w:rsid w:val="008D0820"/>
    <w:rsid w:val="008D4E6E"/>
    <w:rsid w:val="008D5C64"/>
    <w:rsid w:val="008D716F"/>
    <w:rsid w:val="008E4C8E"/>
    <w:rsid w:val="008F6C42"/>
    <w:rsid w:val="00900284"/>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087"/>
    <w:rsid w:val="0096214A"/>
    <w:rsid w:val="00962D34"/>
    <w:rsid w:val="00965A80"/>
    <w:rsid w:val="00967425"/>
    <w:rsid w:val="00971714"/>
    <w:rsid w:val="00973375"/>
    <w:rsid w:val="00973C69"/>
    <w:rsid w:val="0097602D"/>
    <w:rsid w:val="00977D60"/>
    <w:rsid w:val="0098076B"/>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2B6F"/>
    <w:rsid w:val="009E35E6"/>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6994"/>
    <w:rsid w:val="00A77970"/>
    <w:rsid w:val="00A813D7"/>
    <w:rsid w:val="00A82145"/>
    <w:rsid w:val="00A82471"/>
    <w:rsid w:val="00A83129"/>
    <w:rsid w:val="00A8676F"/>
    <w:rsid w:val="00A876FD"/>
    <w:rsid w:val="00A90A6E"/>
    <w:rsid w:val="00A91F65"/>
    <w:rsid w:val="00A95E72"/>
    <w:rsid w:val="00AA02D5"/>
    <w:rsid w:val="00AA0C61"/>
    <w:rsid w:val="00AA1A34"/>
    <w:rsid w:val="00AA2F0C"/>
    <w:rsid w:val="00AA5294"/>
    <w:rsid w:val="00AA612F"/>
    <w:rsid w:val="00AA62B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38DC"/>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48F0"/>
    <w:rsid w:val="00C56794"/>
    <w:rsid w:val="00C56BF6"/>
    <w:rsid w:val="00C620E3"/>
    <w:rsid w:val="00C6284D"/>
    <w:rsid w:val="00C66180"/>
    <w:rsid w:val="00C71794"/>
    <w:rsid w:val="00C74C47"/>
    <w:rsid w:val="00C7577B"/>
    <w:rsid w:val="00C77E51"/>
    <w:rsid w:val="00C802E3"/>
    <w:rsid w:val="00C8255A"/>
    <w:rsid w:val="00C851B7"/>
    <w:rsid w:val="00C87117"/>
    <w:rsid w:val="00C90EEB"/>
    <w:rsid w:val="00C93AA5"/>
    <w:rsid w:val="00C949A8"/>
    <w:rsid w:val="00CA1DDA"/>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981"/>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43A7"/>
    <w:rsid w:val="00ED520F"/>
    <w:rsid w:val="00ED5853"/>
    <w:rsid w:val="00ED62D0"/>
    <w:rsid w:val="00EE370D"/>
    <w:rsid w:val="00EE6736"/>
    <w:rsid w:val="00EF077A"/>
    <w:rsid w:val="00EF2E2B"/>
    <w:rsid w:val="00EF52C8"/>
    <w:rsid w:val="00EF5503"/>
    <w:rsid w:val="00EF5507"/>
    <w:rsid w:val="00EF56AF"/>
    <w:rsid w:val="00F0100B"/>
    <w:rsid w:val="00F017B6"/>
    <w:rsid w:val="00F02F68"/>
    <w:rsid w:val="00F03517"/>
    <w:rsid w:val="00F03C93"/>
    <w:rsid w:val="00F04827"/>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ECDC22"/>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BFC2A7A"/>
    <w:rsid w:val="CD6F918B"/>
    <w:rsid w:val="D1D61F11"/>
    <w:rsid w:val="D1ED4EEC"/>
    <w:rsid w:val="D29B545D"/>
    <w:rsid w:val="D472FF7E"/>
    <w:rsid w:val="D7BC42E9"/>
    <w:rsid w:val="D8962413"/>
    <w:rsid w:val="D9EB3A25"/>
    <w:rsid w:val="D9EF5EAE"/>
    <w:rsid w:val="DAFD239E"/>
    <w:rsid w:val="DC9B9175"/>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0AD8EC"/>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EFD664"/>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7"/>
    <w:unhideWhenUsed/>
    <w:qFormat/>
    <w:uiPriority w:val="99"/>
    <w:pPr>
      <w:jc w:val="left"/>
    </w:pPr>
  </w:style>
  <w:style w:type="paragraph" w:styleId="5">
    <w:name w:val="Body Text"/>
    <w:basedOn w:val="1"/>
    <w:next w:val="1"/>
    <w:link w:val="33"/>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8"/>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8"/>
    <w:semiHidden/>
    <w:qFormat/>
    <w:uiPriority w:val="99"/>
    <w:rPr>
      <w:kern w:val="2"/>
      <w:sz w:val="18"/>
      <w:szCs w:val="18"/>
    </w:rPr>
  </w:style>
  <w:style w:type="character" w:customStyle="1" w:styleId="27">
    <w:name w:val="批注文字 字符"/>
    <w:basedOn w:val="17"/>
    <w:link w:val="4"/>
    <w:semiHidden/>
    <w:qFormat/>
    <w:uiPriority w:val="99"/>
    <w:rPr>
      <w:kern w:val="2"/>
      <w:sz w:val="21"/>
      <w:szCs w:val="24"/>
    </w:rPr>
  </w:style>
  <w:style w:type="character" w:customStyle="1" w:styleId="28">
    <w:name w:val="批注主题 字符"/>
    <w:basedOn w:val="27"/>
    <w:link w:val="14"/>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7"/>
    <w:semiHidden/>
    <w:qFormat/>
    <w:uiPriority w:val="99"/>
    <w:rPr>
      <w:kern w:val="2"/>
      <w:sz w:val="21"/>
      <w:szCs w:val="24"/>
    </w:rPr>
  </w:style>
  <w:style w:type="character" w:customStyle="1" w:styleId="32">
    <w:name w:val="标题 2 字符"/>
    <w:link w:val="2"/>
    <w:qFormat/>
    <w:uiPriority w:val="9"/>
    <w:rPr>
      <w:rFonts w:ascii="宋体" w:hAnsi="宋体"/>
      <w:b/>
      <w:sz w:val="36"/>
      <w:szCs w:val="36"/>
    </w:rPr>
  </w:style>
  <w:style w:type="character" w:customStyle="1" w:styleId="33">
    <w:name w:val="正文文本 字符"/>
    <w:basedOn w:val="17"/>
    <w:link w:val="5"/>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D811-47F7-4C78-810B-5DFA3A107DC0}">
  <ds:schemaRefs/>
</ds:datastoreItem>
</file>

<file path=docProps/app.xml><?xml version="1.0" encoding="utf-8"?>
<Properties xmlns="http://schemas.openxmlformats.org/officeDocument/2006/extended-properties" xmlns:vt="http://schemas.openxmlformats.org/officeDocument/2006/docPropsVTypes">
  <Company>Microsoft</Company>
  <Pages>16</Pages>
  <Words>1246</Words>
  <Characters>7104</Characters>
  <Lines>59</Lines>
  <Paragraphs>16</Paragraphs>
  <TotalTime>0</TotalTime>
  <ScaleCrop>false</ScaleCrop>
  <LinksUpToDate>false</LinksUpToDate>
  <CharactersWithSpaces>8334</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2024-08-22T04:02:00Z</dcterms:created>
  <dc:creator>刘海燕</dc:creator>
  <cp:lastModifiedBy>9707</cp:lastModifiedBy>
  <dcterms:modified xsi:type="dcterms:W3CDTF">2024-08-22T11:22:40Z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9D7450C18A904AFF85FF23FAE1C18610_13</vt:lpwstr>
  </property>
</Properties>
</file>