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DE9BF">
      <w:pPr>
        <w:widowControl/>
        <w:shd w:val="clear" w:color="auto" w:fill="FFFFFF"/>
        <w:snapToGrid w:val="0"/>
        <w:spacing w:line="360" w:lineRule="auto"/>
        <w:jc w:val="center"/>
        <w:rPr>
          <w:rFonts w:hint="eastAsia" w:ascii="仿宋" w:hAnsi="仿宋" w:eastAsia="仿宋" w:cs="仿宋"/>
          <w:b/>
          <w:bCs/>
          <w:kern w:val="0"/>
          <w:sz w:val="30"/>
          <w:szCs w:val="30"/>
          <w:highlight w:val="none"/>
          <w:lang w:val="en-US" w:eastAsia="zh-CN"/>
        </w:rPr>
      </w:pPr>
      <w:r>
        <w:rPr>
          <w:rFonts w:hint="eastAsia" w:ascii="仿宋" w:hAnsi="仿宋" w:eastAsia="仿宋" w:cs="仿宋"/>
          <w:b/>
          <w:bCs/>
          <w:kern w:val="0"/>
          <w:sz w:val="30"/>
          <w:szCs w:val="30"/>
          <w:highlight w:val="none"/>
          <w:lang w:val="en-US" w:eastAsia="zh-CN"/>
        </w:rPr>
        <w:t>蒙牛乳业雅士利山西工厂全自动充氮包装机设备采购及改造项目</w:t>
      </w:r>
    </w:p>
    <w:p w14:paraId="1E1C1C56">
      <w:pPr>
        <w:widowControl/>
        <w:shd w:val="clear" w:color="auto" w:fill="FFFFFF"/>
        <w:snapToGrid w:val="0"/>
        <w:spacing w:line="360" w:lineRule="auto"/>
        <w:jc w:val="center"/>
        <w:rPr>
          <w:rFonts w:hint="eastAsia" w:ascii="仿宋" w:hAnsi="仿宋" w:eastAsia="仿宋" w:cs="仿宋"/>
          <w:b/>
          <w:bCs/>
          <w:color w:val="FF0000"/>
          <w:kern w:val="0"/>
          <w:sz w:val="24"/>
          <w:szCs w:val="24"/>
          <w:highlight w:val="none"/>
        </w:rPr>
      </w:pPr>
      <w:r>
        <w:rPr>
          <w:rFonts w:hint="eastAsia" w:ascii="仿宋" w:hAnsi="仿宋" w:eastAsia="仿宋" w:cs="仿宋"/>
          <w:b/>
          <w:bCs/>
          <w:kern w:val="0"/>
          <w:sz w:val="30"/>
          <w:szCs w:val="30"/>
          <w:highlight w:val="none"/>
        </w:rPr>
        <w:t>竞争性谈判信息</w:t>
      </w:r>
      <w:r>
        <w:rPr>
          <w:rFonts w:hint="eastAsia" w:ascii="仿宋" w:hAnsi="仿宋" w:eastAsia="仿宋" w:cs="仿宋"/>
          <w:b/>
          <w:bCs/>
          <w:kern w:val="0"/>
          <w:sz w:val="30"/>
          <w:szCs w:val="30"/>
          <w:highlight w:val="none"/>
          <w:lang w:val="en-US" w:eastAsia="zh-CN"/>
        </w:rPr>
        <w:t>二次</w:t>
      </w:r>
      <w:r>
        <w:rPr>
          <w:rFonts w:hint="eastAsia" w:ascii="仿宋" w:hAnsi="仿宋" w:eastAsia="仿宋" w:cs="仿宋"/>
          <w:b/>
          <w:bCs/>
          <w:kern w:val="0"/>
          <w:sz w:val="30"/>
          <w:szCs w:val="30"/>
          <w:highlight w:val="none"/>
        </w:rPr>
        <w:t>公告</w:t>
      </w:r>
    </w:p>
    <w:p w14:paraId="1BC96779">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内蒙古华晟工程项目管理有限公司受</w:t>
      </w:r>
      <w:r>
        <w:rPr>
          <w:rFonts w:hint="eastAsia" w:ascii="仿宋" w:hAnsi="仿宋" w:eastAsia="仿宋" w:cs="仿宋"/>
          <w:sz w:val="24"/>
          <w:szCs w:val="24"/>
          <w:highlight w:val="none"/>
        </w:rPr>
        <w:t>内蒙古蒙牛乳业（集团）股份有限公司</w:t>
      </w:r>
      <w:r>
        <w:rPr>
          <w:rFonts w:hint="eastAsia" w:ascii="仿宋" w:hAnsi="仿宋" w:eastAsia="仿宋" w:cs="仿宋"/>
          <w:sz w:val="24"/>
          <w:szCs w:val="24"/>
          <w:highlight w:val="none"/>
          <w:lang w:val="en-US" w:eastAsia="zh-CN"/>
        </w:rPr>
        <w:t>委托，现对蒙牛乳业雅士利山西工厂全自动充氮包装机设备采购及改造项目</w:t>
      </w:r>
      <w:r>
        <w:rPr>
          <w:rFonts w:hint="eastAsia" w:ascii="仿宋" w:hAnsi="仿宋" w:eastAsia="仿宋" w:cs="仿宋"/>
          <w:sz w:val="24"/>
          <w:szCs w:val="24"/>
          <w:highlight w:val="none"/>
        </w:rPr>
        <w:t>进行竞争性谈判, 欢迎符合资格条件的</w:t>
      </w:r>
      <w:r>
        <w:rPr>
          <w:rFonts w:hint="eastAsia" w:ascii="仿宋" w:hAnsi="仿宋" w:eastAsia="仿宋" w:cs="仿宋"/>
          <w:sz w:val="24"/>
          <w:szCs w:val="24"/>
          <w:highlight w:val="none"/>
          <w:lang w:val="en-US" w:eastAsia="zh-CN"/>
        </w:rPr>
        <w:t>竞谈人</w:t>
      </w:r>
      <w:r>
        <w:rPr>
          <w:rFonts w:hint="eastAsia" w:ascii="仿宋" w:hAnsi="仿宋" w:eastAsia="仿宋" w:cs="仿宋"/>
          <w:sz w:val="24"/>
          <w:szCs w:val="24"/>
          <w:highlight w:val="none"/>
        </w:rPr>
        <w:t>参加。</w:t>
      </w:r>
    </w:p>
    <w:p w14:paraId="11FA16B6">
      <w:pPr>
        <w:keepNext w:val="0"/>
        <w:keepLines w:val="0"/>
        <w:pageBreakBefore w:val="0"/>
        <w:widowControl w:val="0"/>
        <w:kinsoku/>
        <w:wordWrap/>
        <w:overflowPunct/>
        <w:bidi w:val="0"/>
        <w:spacing w:line="360" w:lineRule="auto"/>
        <w:ind w:left="0" w:leftChars="0" w:right="0" w:firstLine="482"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b/>
          <w:sz w:val="24"/>
          <w:szCs w:val="24"/>
          <w:highlight w:val="none"/>
        </w:rPr>
        <w:t>一、项目编号：MNCGJH-20240814-0006</w:t>
      </w:r>
    </w:p>
    <w:p w14:paraId="6454A829">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sz w:val="24"/>
          <w:szCs w:val="24"/>
          <w:highlight w:val="none"/>
        </w:rPr>
        <w:t>二、项目名称</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蒙牛乳业雅士利山西工厂全自动充氮包装机设备采购及改造项目</w:t>
      </w:r>
    </w:p>
    <w:p w14:paraId="774E2CFF">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三、项目概况：</w:t>
      </w:r>
    </w:p>
    <w:p w14:paraId="1047690D">
      <w:pPr>
        <w:keepNext w:val="0"/>
        <w:keepLines w:val="0"/>
        <w:pageBreakBefore w:val="0"/>
        <w:kinsoku/>
        <w:overflowPunct/>
        <w:autoSpaceDE/>
        <w:autoSpaceDN/>
        <w:bidi w:val="0"/>
        <w:spacing w:line="480" w:lineRule="exact"/>
        <w:ind w:left="0" w:leftChars="0" w:righ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标段一：25kg全自动种充氮包装机及配套后段设备设施1套。</w:t>
      </w:r>
    </w:p>
    <w:p w14:paraId="51075F94">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四、资格要求：</w:t>
      </w:r>
    </w:p>
    <w:p w14:paraId="46523CC0">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（1）竞谈人必须是在中华人民共和国境内注册的具有独立法人资格的企业单位；</w:t>
      </w:r>
    </w:p>
    <w:p w14:paraId="39034070">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（2）竞谈人须具有一般纳税人资格，企业最近1年任意3个月的依法纳税证明材料和社保缴纳证明；</w:t>
      </w:r>
    </w:p>
    <w:p w14:paraId="777E04CC">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（3）竞谈人授权委托人须为本企业在职人员；</w:t>
      </w:r>
    </w:p>
    <w:p w14:paraId="2E7F17EA">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（4）竞谈人必须为具有销售和安装（以上两项需同时具备）能力的设备厂商或授权代理商，若是授权代理商，必须取得所投货物生产制造商出具的书面授权书；招标单位只接受生产厂家一份项目授权书；</w:t>
      </w:r>
    </w:p>
    <w:p w14:paraId="1A66384B">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（5）竞谈人须具有2021年1月1日至今至少两个类似项目业绩（以合同为准）；</w:t>
      </w:r>
    </w:p>
    <w:p w14:paraId="2D978C3C">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（6）竞谈人须具有2021至2023年第三方财务审计报告；</w:t>
      </w:r>
    </w:p>
    <w:p w14:paraId="316CB618">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（7）竞谈人未被列入国家企业信用信息公示系统（http://www.gsxt.gov.cn/index.html）严重违法失信企业名单；</w:t>
      </w:r>
    </w:p>
    <w:p w14:paraId="66C3CE8B">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（8）竞谈人在“中华人民共和国应急管理部（https://www.mem.gov.cn/）”近一年内无公开曝光的安全事件；</w:t>
      </w:r>
    </w:p>
    <w:p w14:paraId="2B1BB8B2">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（9）竞谈人严格执行国家有关安全生产的各项法律法规及行业管理条例，认真贯彻落实各项安全生产管理制度，近一年内，无安全生产失信行为和无被安全监督部门公开曝光的事件。</w:t>
      </w:r>
    </w:p>
    <w:p w14:paraId="3C93CF64">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与采购人存在利害关系可能影响采购公正性的法人、其他组织或者个人，不得参加竞谈；单位负责人为同一人或者存在控股、管理关系的不同单位，不得参加同一标段竞谈或者未划分标段的同一招标项目竞谈；存在以上情况的，在通过资格预审的情况下，允许最先报名的潜在竞谈人参与竞谈。</w:t>
      </w:r>
    </w:p>
    <w:p w14:paraId="36405B8C">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（11）本项目不接受联合体投标，不允许分包或转包。</w:t>
      </w:r>
    </w:p>
    <w:p w14:paraId="474003BF">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（12）不接受中粮及蒙牛供应商黑名单（以蒙牛集团采购招标管理部下发的黑名单为准）的企业参与竞争；</w:t>
      </w:r>
    </w:p>
    <w:p w14:paraId="4C3CB2B5">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（13）竞谈人须执行蒙牛集团《承包商安全管理制度》管理要求。</w:t>
      </w:r>
    </w:p>
    <w:p w14:paraId="0BE0967A">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i/>
          <w:color w:val="FF0000"/>
          <w:sz w:val="24"/>
          <w:szCs w:val="24"/>
          <w:highlight w:val="none"/>
        </w:rPr>
      </w:pPr>
      <w:r>
        <w:rPr>
          <w:rFonts w:hint="eastAsia" w:ascii="仿宋" w:hAnsi="仿宋" w:eastAsia="仿宋" w:cs="仿宋"/>
          <w:b/>
          <w:color w:val="000000"/>
          <w:sz w:val="24"/>
          <w:szCs w:val="24"/>
          <w:highlight w:val="none"/>
        </w:rPr>
        <w:t>五、报名须知</w:t>
      </w:r>
    </w:p>
    <w:p w14:paraId="44D5005B">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报名资格文件按照如下要求提供：</w:t>
      </w:r>
    </w:p>
    <w:p w14:paraId="10862A7D">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（1）提供有效的营业执照，有效的开户行许可证/基本存款；</w:t>
      </w:r>
    </w:p>
    <w:p w14:paraId="4F2BF822">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（2）提供法定代表人证明书或授权委托书原件；</w:t>
      </w:r>
    </w:p>
    <w:p w14:paraId="7D634E74">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备注：法定代表人须上传法人证明材料及身份证原件扫描件，若为被授权人须上传一份法人授权委托书和身份证原件扫描件及授权委托人近一年内在本单位的社保证明材料。</w:t>
      </w:r>
    </w:p>
    <w:p w14:paraId="63ACF3A7">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（3）提供一般纳税人资格证明材料，企业最近1年任意3个月的依法纳税证明材料和社保缴纳证明材料；</w:t>
      </w:r>
    </w:p>
    <w:p w14:paraId="22AEC2E7">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（4）提供销售和安装</w:t>
      </w:r>
      <w:r>
        <w:rPr>
          <w:rFonts w:hint="eastAsia" w:ascii="仿宋" w:hAnsi="仿宋" w:eastAsia="仿宋" w:cs="仿宋"/>
          <w:color w:val="auto"/>
          <w:sz w:val="24"/>
          <w:szCs w:val="24"/>
          <w:highlight w:val="none"/>
          <w:lang w:val="en-US" w:eastAsia="zh-CN"/>
        </w:rPr>
        <w:t>（以上两项需同时具备）能力的设备厂商承诺书，若是授权代理商，提供所投货物生产制造商出具的书面授权书；采购人单位只接受生产厂家一份项目授权书；</w:t>
      </w:r>
    </w:p>
    <w:p w14:paraId="430CD53F">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（5）提供近三年（2021至2023年）经过第三方专业审计机构出具的财务审计报告；</w:t>
      </w:r>
    </w:p>
    <w:p w14:paraId="4C4B032E">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（6）提供2021年1月1日至今至少两个类似项目业绩（以合同为准）；</w:t>
      </w:r>
    </w:p>
    <w:p w14:paraId="406C1033">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eastAsia" w:ascii="仿宋" w:hAnsi="仿宋" w:eastAsia="仿宋" w:cs="仿宋"/>
          <w:color w:val="000000"/>
          <w:sz w:val="24"/>
          <w:szCs w:val="24"/>
          <w:highlight w:val="none"/>
          <w:lang w:val="en-US" w:eastAsia="zh-CN"/>
        </w:rPr>
        <w:t>提供</w:t>
      </w:r>
      <w:r>
        <w:rPr>
          <w:rFonts w:hint="eastAsia" w:ascii="仿宋" w:hAnsi="仿宋" w:eastAsia="仿宋" w:cs="仿宋"/>
          <w:color w:val="000000"/>
          <w:sz w:val="24"/>
          <w:szCs w:val="24"/>
          <w:highlight w:val="none"/>
        </w:rPr>
        <w:t>未被列入国家企业信用信息公示</w:t>
      </w:r>
      <w:r>
        <w:rPr>
          <w:rFonts w:hint="eastAsia" w:ascii="仿宋" w:hAnsi="仿宋" w:eastAsia="仿宋" w:cs="仿宋"/>
          <w:color w:val="000000"/>
          <w:sz w:val="24"/>
          <w:szCs w:val="24"/>
          <w:highlight w:val="none"/>
          <w:lang w:val="en-US" w:eastAsia="zh-CN"/>
        </w:rPr>
        <w:t>系统</w:t>
      </w:r>
      <w:r>
        <w:rPr>
          <w:rFonts w:hint="eastAsia" w:ascii="仿宋" w:hAnsi="仿宋" w:eastAsia="仿宋" w:cs="仿宋"/>
          <w:sz w:val="24"/>
          <w:szCs w:val="24"/>
          <w:highlight w:val="none"/>
        </w:rPr>
        <w:t>（</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"http://www.gsxt.gov.cn/index.html%EF%BC%89%E4%B8%A5%E9%87%8D%E8%BF%9D%E6%B3%95%E5%A4%B1%E4%BF%A1%E4%BC%81%E4%B8%9A%E5%90%8D%E5%8D%95" \t "_blank"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http://www.gsxt.gov.cn/index.html）严重违法失信企业名单</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lang w:val="en-US" w:eastAsia="zh-CN"/>
        </w:rPr>
        <w:t>证明材料；</w:t>
      </w:r>
    </w:p>
    <w:p w14:paraId="34EE6873">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（8）提供“中华人民共和国应急管理部（https://www.mem.gov.cn/）”近一年内无公开曝光的安全事件证明材料；</w:t>
      </w:r>
    </w:p>
    <w:p w14:paraId="6CBAEE1A">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（9）</w:t>
      </w:r>
      <w:r>
        <w:rPr>
          <w:rFonts w:hint="eastAsia" w:ascii="仿宋" w:hAnsi="仿宋" w:eastAsia="仿宋" w:cs="仿宋"/>
          <w:color w:val="000000"/>
          <w:sz w:val="24"/>
          <w:szCs w:val="24"/>
          <w:highlight w:val="none"/>
          <w:lang w:val="en-US" w:eastAsia="zh-CN"/>
        </w:rPr>
        <w:t>提供</w:t>
      </w:r>
      <w:r>
        <w:rPr>
          <w:rFonts w:hint="eastAsia" w:ascii="仿宋" w:hAnsi="仿宋" w:eastAsia="仿宋" w:cs="仿宋"/>
          <w:color w:val="000000"/>
          <w:sz w:val="24"/>
          <w:szCs w:val="24"/>
          <w:highlight w:val="none"/>
        </w:rPr>
        <w:t>保密</w:t>
      </w:r>
      <w:r>
        <w:rPr>
          <w:rFonts w:hint="eastAsia" w:ascii="仿宋" w:hAnsi="仿宋" w:eastAsia="仿宋" w:cs="仿宋"/>
          <w:color w:val="000000"/>
          <w:sz w:val="24"/>
          <w:szCs w:val="24"/>
          <w:highlight w:val="none"/>
          <w:lang w:val="en-US" w:eastAsia="zh-CN"/>
        </w:rPr>
        <w:t>承诺书</w:t>
      </w:r>
      <w:r>
        <w:rPr>
          <w:rFonts w:hint="eastAsia" w:ascii="仿宋" w:hAnsi="仿宋" w:eastAsia="仿宋" w:cs="仿宋"/>
          <w:sz w:val="24"/>
          <w:szCs w:val="24"/>
          <w:highlight w:val="none"/>
          <w:lang w:val="en-US" w:eastAsia="zh-CN"/>
        </w:rPr>
        <w:t>（附件1）；</w:t>
      </w:r>
    </w:p>
    <w:p w14:paraId="7929C74C">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（10）提供本企业无联合体竞谈，不分包或转包声明（附件3）；</w:t>
      </w:r>
    </w:p>
    <w:p w14:paraId="55ED0072">
      <w:pPr>
        <w:pStyle w:val="18"/>
        <w:keepNext w:val="0"/>
        <w:keepLines w:val="0"/>
        <w:pageBreakBefore w:val="0"/>
        <w:widowControl w:val="0"/>
        <w:kinsoku/>
        <w:wordWrap w:val="0"/>
        <w:overflowPunct/>
        <w:topLinePunct w:val="0"/>
        <w:autoSpaceDE w:val="0"/>
        <w:autoSpaceDN w:val="0"/>
        <w:bidi w:val="0"/>
        <w:adjustRightInd w:val="0"/>
        <w:snapToGrid/>
        <w:spacing w:line="360" w:lineRule="auto"/>
        <w:ind w:left="0" w:leftChars="0"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（11）提供承诺遵守蒙牛集团《承包商安全管理制度》的承诺书。</w:t>
      </w:r>
    </w:p>
    <w:p w14:paraId="07CE877C">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p>
    <w:p w14:paraId="6130EBFB">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sz w:val="24"/>
          <w:szCs w:val="24"/>
          <w:highlight w:val="none"/>
          <w:lang w:val="en-US" w:eastAsia="zh-CN"/>
        </w:rPr>
        <w:t>“蒙牛集团电子采购招标平台（</w:t>
      </w:r>
      <w:r>
        <w:rPr>
          <w:rFonts w:hint="eastAsia" w:ascii="仿宋" w:hAnsi="仿宋" w:eastAsia="仿宋" w:cs="仿宋"/>
          <w:sz w:val="24"/>
          <w:szCs w:val="24"/>
          <w:highlight w:val="none"/>
          <w:lang w:val="en-US" w:eastAsia="zh-CN"/>
        </w:rPr>
        <w:fldChar w:fldCharType="begin"/>
      </w:r>
      <w:r>
        <w:rPr>
          <w:rFonts w:hint="eastAsia" w:ascii="仿宋" w:hAnsi="仿宋" w:eastAsia="仿宋" w:cs="仿宋"/>
          <w:sz w:val="24"/>
          <w:szCs w:val="24"/>
          <w:highlight w:val="none"/>
          <w:lang w:val="en-US" w:eastAsia="zh-CN"/>
        </w:rPr>
        <w:instrText xml:space="preserve"> HYPERLINK "https://zbcg.mengniu.cn/" \l "/home" \t "_blank" </w:instrText>
      </w:r>
      <w:r>
        <w:rPr>
          <w:rFonts w:hint="eastAsia" w:ascii="仿宋" w:hAnsi="仿宋" w:eastAsia="仿宋" w:cs="仿宋"/>
          <w:sz w:val="24"/>
          <w:szCs w:val="24"/>
          <w:highlight w:val="none"/>
          <w:lang w:val="en-US" w:eastAsia="zh-CN"/>
        </w:rPr>
        <w:fldChar w:fldCharType="separate"/>
      </w:r>
      <w:r>
        <w:rPr>
          <w:rFonts w:hint="eastAsia" w:ascii="仿宋" w:hAnsi="仿宋" w:eastAsia="仿宋" w:cs="仿宋"/>
          <w:sz w:val="24"/>
          <w:szCs w:val="24"/>
          <w:highlight w:val="none"/>
          <w:lang w:val="en-US" w:eastAsia="zh-CN"/>
        </w:rPr>
        <w:t>https://zbcg.mengniu.cn/#/home</w:t>
      </w:r>
      <w:r>
        <w:rPr>
          <w:rFonts w:hint="eastAsia" w:ascii="仿宋" w:hAnsi="仿宋" w:eastAsia="仿宋" w:cs="仿宋"/>
          <w:sz w:val="24"/>
          <w:szCs w:val="24"/>
          <w:highlight w:val="none"/>
          <w:lang w:val="en-US" w:eastAsia="zh-CN"/>
        </w:rPr>
        <w:fldChar w:fldCharType="end"/>
      </w:r>
      <w:r>
        <w:rPr>
          <w:rFonts w:hint="eastAsia" w:ascii="仿宋" w:hAnsi="仿宋" w:eastAsia="仿宋" w:cs="仿宋"/>
          <w:sz w:val="24"/>
          <w:szCs w:val="24"/>
          <w:highlight w:val="none"/>
          <w:lang w:val="en-US" w:eastAsia="zh-CN"/>
        </w:rPr>
        <w:t xml:space="preserve"> ）”</w:t>
      </w:r>
      <w:bookmarkEnd w:id="0"/>
      <w:r>
        <w:rPr>
          <w:rFonts w:hint="eastAsia" w:ascii="仿宋" w:hAnsi="仿宋" w:eastAsia="仿宋" w:cs="仿宋"/>
          <w:sz w:val="24"/>
          <w:szCs w:val="24"/>
          <w:highlight w:val="none"/>
          <w:lang w:val="en-US" w:eastAsia="zh-CN"/>
        </w:rPr>
        <w:t>进行线上提交，进行资格审查（过期提交不予受理），审查合格后方可购买招标文件（仅作为发放招标文件的依据）。</w:t>
      </w:r>
    </w:p>
    <w:p w14:paraId="5A52C648">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资料提供不全或模糊不清或未按时间要求提报的将被拒绝接收，所提供的资质、业绩文件中如有虚假情况，一经发现将被取消竞谈资格。</w:t>
      </w:r>
    </w:p>
    <w:p w14:paraId="4B9F5B1C">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竞谈人自购买谈判文件之日起，应确保其向采购人或招标代理机构提供的通讯手段（电话、邮箱）一直有效，以保证往来函件能及时传达并及时反馈信息，否则由此引起的一切后果由竞谈人承担。</w:t>
      </w:r>
    </w:p>
    <w:p w14:paraId="39235092">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2、报名方式：</w:t>
      </w:r>
    </w:p>
    <w:p w14:paraId="3D853C69">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潜在竞谈人依据资格要求自主评估，符合条件的登录“蒙牛集团电子采购招标平台”进行网上报名、资格验证、购买谈判文件、澄清答疑和参与竞谈会等，过程中如有疑问可咨询平台服务支持，电话4008108111或咨询采购方业务咨询联系人。</w:t>
      </w:r>
    </w:p>
    <w:p w14:paraId="39872DF8">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p>
    <w:p w14:paraId="5B51C860">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六、项目时间安排及要求：</w:t>
      </w:r>
    </w:p>
    <w:p w14:paraId="60AA6DC3">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yellow"/>
        </w:rPr>
      </w:pPr>
      <w:r>
        <w:rPr>
          <w:rFonts w:hint="eastAsia" w:ascii="仿宋" w:hAnsi="仿宋" w:eastAsia="仿宋" w:cs="仿宋"/>
          <w:sz w:val="24"/>
          <w:szCs w:val="24"/>
          <w:highlight w:val="yellow"/>
        </w:rPr>
        <w:t>1、报名时间：</w:t>
      </w:r>
      <w:r>
        <w:rPr>
          <w:rFonts w:hint="eastAsia" w:ascii="仿宋" w:hAnsi="仿宋" w:eastAsia="仿宋" w:cs="仿宋"/>
          <w:sz w:val="24"/>
          <w:szCs w:val="24"/>
          <w:highlight w:val="yellow"/>
          <w:u w:val="none"/>
          <w:lang w:val="en-US" w:eastAsia="zh-CN"/>
        </w:rPr>
        <w:t>2024</w:t>
      </w:r>
      <w:r>
        <w:rPr>
          <w:rFonts w:hint="eastAsia" w:ascii="仿宋" w:hAnsi="仿宋" w:eastAsia="仿宋" w:cs="仿宋"/>
          <w:sz w:val="24"/>
          <w:szCs w:val="24"/>
          <w:highlight w:val="yellow"/>
        </w:rPr>
        <w:t>年</w:t>
      </w:r>
      <w:r>
        <w:rPr>
          <w:rFonts w:hint="eastAsia" w:ascii="仿宋" w:hAnsi="仿宋" w:eastAsia="仿宋" w:cs="仿宋"/>
          <w:sz w:val="24"/>
          <w:szCs w:val="24"/>
          <w:highlight w:val="yellow"/>
          <w:u w:val="none"/>
          <w:lang w:val="en-US" w:eastAsia="zh-CN"/>
        </w:rPr>
        <w:t>9</w:t>
      </w:r>
      <w:r>
        <w:rPr>
          <w:rFonts w:hint="eastAsia" w:ascii="仿宋" w:hAnsi="仿宋" w:eastAsia="仿宋" w:cs="仿宋"/>
          <w:sz w:val="24"/>
          <w:szCs w:val="24"/>
          <w:highlight w:val="yellow"/>
        </w:rPr>
        <w:t>月</w:t>
      </w:r>
      <w:r>
        <w:rPr>
          <w:rFonts w:hint="eastAsia" w:ascii="仿宋" w:hAnsi="仿宋" w:eastAsia="仿宋" w:cs="仿宋"/>
          <w:sz w:val="24"/>
          <w:szCs w:val="24"/>
          <w:highlight w:val="yellow"/>
          <w:u w:val="none"/>
          <w:lang w:val="en-US" w:eastAsia="zh-CN"/>
        </w:rPr>
        <w:t>12</w:t>
      </w:r>
      <w:r>
        <w:rPr>
          <w:rFonts w:hint="eastAsia" w:ascii="仿宋" w:hAnsi="仿宋" w:eastAsia="仿宋" w:cs="仿宋"/>
          <w:sz w:val="24"/>
          <w:szCs w:val="24"/>
          <w:highlight w:val="yellow"/>
        </w:rPr>
        <w:t>日</w:t>
      </w:r>
      <w:r>
        <w:rPr>
          <w:rFonts w:hint="eastAsia" w:ascii="仿宋" w:hAnsi="仿宋" w:eastAsia="仿宋" w:cs="仿宋"/>
          <w:sz w:val="24"/>
          <w:szCs w:val="24"/>
          <w:highlight w:val="yellow"/>
          <w:lang w:val="en-US" w:eastAsia="zh-CN"/>
        </w:rPr>
        <w:t>12时</w:t>
      </w:r>
      <w:r>
        <w:rPr>
          <w:rFonts w:hint="eastAsia" w:ascii="仿宋" w:hAnsi="仿宋" w:eastAsia="仿宋" w:cs="仿宋"/>
          <w:sz w:val="24"/>
          <w:szCs w:val="24"/>
          <w:highlight w:val="yellow"/>
        </w:rPr>
        <w:t>至</w:t>
      </w:r>
      <w:r>
        <w:rPr>
          <w:rFonts w:hint="eastAsia" w:ascii="仿宋" w:hAnsi="仿宋" w:eastAsia="仿宋" w:cs="仿宋"/>
          <w:sz w:val="24"/>
          <w:szCs w:val="24"/>
          <w:highlight w:val="yellow"/>
          <w:u w:val="none"/>
          <w:lang w:val="en-US" w:eastAsia="zh-CN"/>
        </w:rPr>
        <w:t>2024</w:t>
      </w:r>
      <w:r>
        <w:rPr>
          <w:rFonts w:hint="eastAsia" w:ascii="仿宋" w:hAnsi="仿宋" w:eastAsia="仿宋" w:cs="仿宋"/>
          <w:sz w:val="24"/>
          <w:szCs w:val="24"/>
          <w:highlight w:val="yellow"/>
        </w:rPr>
        <w:t>年</w:t>
      </w:r>
      <w:r>
        <w:rPr>
          <w:rFonts w:hint="eastAsia" w:ascii="仿宋" w:hAnsi="仿宋" w:eastAsia="仿宋" w:cs="仿宋"/>
          <w:sz w:val="24"/>
          <w:szCs w:val="24"/>
          <w:highlight w:val="yellow"/>
          <w:u w:val="none"/>
          <w:lang w:val="en-US" w:eastAsia="zh-CN"/>
        </w:rPr>
        <w:t>9</w:t>
      </w:r>
      <w:r>
        <w:rPr>
          <w:rFonts w:hint="eastAsia" w:ascii="仿宋" w:hAnsi="仿宋" w:eastAsia="仿宋" w:cs="仿宋"/>
          <w:sz w:val="24"/>
          <w:szCs w:val="24"/>
          <w:highlight w:val="yellow"/>
        </w:rPr>
        <w:t>月</w:t>
      </w:r>
      <w:r>
        <w:rPr>
          <w:rFonts w:hint="eastAsia" w:ascii="仿宋" w:hAnsi="仿宋" w:eastAsia="仿宋" w:cs="仿宋"/>
          <w:sz w:val="24"/>
          <w:szCs w:val="24"/>
          <w:highlight w:val="yellow"/>
          <w:lang w:val="en-US" w:eastAsia="zh-CN"/>
        </w:rPr>
        <w:t>13</w:t>
      </w:r>
      <w:r>
        <w:rPr>
          <w:rFonts w:hint="eastAsia" w:ascii="仿宋" w:hAnsi="仿宋" w:eastAsia="仿宋" w:cs="仿宋"/>
          <w:sz w:val="24"/>
          <w:szCs w:val="24"/>
          <w:highlight w:val="yellow"/>
        </w:rPr>
        <w:t>日</w:t>
      </w:r>
      <w:r>
        <w:rPr>
          <w:rFonts w:hint="eastAsia" w:ascii="仿宋" w:hAnsi="仿宋" w:eastAsia="仿宋" w:cs="仿宋"/>
          <w:sz w:val="24"/>
          <w:szCs w:val="24"/>
          <w:highlight w:val="yellow"/>
          <w:lang w:val="en-US" w:eastAsia="zh-CN"/>
        </w:rPr>
        <w:t>17时</w:t>
      </w:r>
      <w:r>
        <w:rPr>
          <w:rFonts w:hint="eastAsia" w:ascii="仿宋" w:hAnsi="仿宋" w:eastAsia="仿宋" w:cs="仿宋"/>
          <w:sz w:val="24"/>
          <w:szCs w:val="24"/>
          <w:highlight w:val="yellow"/>
        </w:rPr>
        <w:t>；</w:t>
      </w:r>
    </w:p>
    <w:p w14:paraId="19BA49E4">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yellow"/>
        </w:rPr>
      </w:pPr>
      <w:r>
        <w:rPr>
          <w:rFonts w:hint="eastAsia" w:ascii="仿宋" w:hAnsi="仿宋" w:eastAsia="仿宋" w:cs="仿宋"/>
          <w:sz w:val="24"/>
          <w:szCs w:val="24"/>
          <w:highlight w:val="yellow"/>
        </w:rPr>
        <w:t>2、资格预审时间：</w:t>
      </w:r>
      <w:r>
        <w:rPr>
          <w:rFonts w:hint="eastAsia" w:ascii="仿宋" w:hAnsi="仿宋" w:eastAsia="仿宋" w:cs="仿宋"/>
          <w:sz w:val="24"/>
          <w:szCs w:val="24"/>
          <w:highlight w:val="yellow"/>
          <w:u w:val="none"/>
          <w:lang w:val="en-US" w:eastAsia="zh-CN"/>
        </w:rPr>
        <w:t>2024</w:t>
      </w:r>
      <w:r>
        <w:rPr>
          <w:rFonts w:hint="eastAsia" w:ascii="仿宋" w:hAnsi="仿宋" w:eastAsia="仿宋" w:cs="仿宋"/>
          <w:sz w:val="24"/>
          <w:szCs w:val="24"/>
          <w:highlight w:val="yellow"/>
        </w:rPr>
        <w:t>年</w:t>
      </w:r>
      <w:r>
        <w:rPr>
          <w:rFonts w:hint="eastAsia" w:ascii="仿宋" w:hAnsi="仿宋" w:eastAsia="仿宋" w:cs="仿宋"/>
          <w:sz w:val="24"/>
          <w:szCs w:val="24"/>
          <w:highlight w:val="yellow"/>
          <w:u w:val="none"/>
          <w:lang w:val="en-US" w:eastAsia="zh-CN"/>
        </w:rPr>
        <w:t>9</w:t>
      </w:r>
      <w:r>
        <w:rPr>
          <w:rFonts w:hint="eastAsia" w:ascii="仿宋" w:hAnsi="仿宋" w:eastAsia="仿宋" w:cs="仿宋"/>
          <w:sz w:val="24"/>
          <w:szCs w:val="24"/>
          <w:highlight w:val="yellow"/>
        </w:rPr>
        <w:t>月</w:t>
      </w:r>
      <w:r>
        <w:rPr>
          <w:rFonts w:hint="eastAsia" w:ascii="仿宋" w:hAnsi="仿宋" w:eastAsia="仿宋" w:cs="仿宋"/>
          <w:sz w:val="24"/>
          <w:szCs w:val="24"/>
          <w:highlight w:val="yellow"/>
          <w:u w:val="none"/>
          <w:lang w:val="en-US" w:eastAsia="zh-CN"/>
        </w:rPr>
        <w:t>12</w:t>
      </w:r>
      <w:r>
        <w:rPr>
          <w:rFonts w:hint="eastAsia" w:ascii="仿宋" w:hAnsi="仿宋" w:eastAsia="仿宋" w:cs="仿宋"/>
          <w:sz w:val="24"/>
          <w:szCs w:val="24"/>
          <w:highlight w:val="yellow"/>
        </w:rPr>
        <w:t>日</w:t>
      </w:r>
      <w:r>
        <w:rPr>
          <w:rFonts w:hint="eastAsia" w:ascii="仿宋" w:hAnsi="仿宋" w:eastAsia="仿宋" w:cs="仿宋"/>
          <w:sz w:val="24"/>
          <w:szCs w:val="24"/>
          <w:highlight w:val="yellow"/>
          <w:lang w:val="en-US" w:eastAsia="zh-CN"/>
        </w:rPr>
        <w:t>12时至</w:t>
      </w:r>
      <w:r>
        <w:rPr>
          <w:rFonts w:hint="eastAsia" w:ascii="仿宋" w:hAnsi="仿宋" w:eastAsia="仿宋" w:cs="仿宋"/>
          <w:sz w:val="24"/>
          <w:szCs w:val="24"/>
          <w:highlight w:val="yellow"/>
          <w:u w:val="none"/>
          <w:lang w:val="en-US" w:eastAsia="zh-CN"/>
        </w:rPr>
        <w:t>2024</w:t>
      </w:r>
      <w:r>
        <w:rPr>
          <w:rFonts w:hint="eastAsia" w:ascii="仿宋" w:hAnsi="仿宋" w:eastAsia="仿宋" w:cs="仿宋"/>
          <w:sz w:val="24"/>
          <w:szCs w:val="24"/>
          <w:highlight w:val="yellow"/>
        </w:rPr>
        <w:t>年</w:t>
      </w:r>
      <w:r>
        <w:rPr>
          <w:rFonts w:hint="eastAsia" w:ascii="仿宋" w:hAnsi="仿宋" w:eastAsia="仿宋" w:cs="仿宋"/>
          <w:sz w:val="24"/>
          <w:szCs w:val="24"/>
          <w:highlight w:val="yellow"/>
          <w:u w:val="none"/>
          <w:lang w:val="en-US" w:eastAsia="zh-CN"/>
        </w:rPr>
        <w:t>9</w:t>
      </w:r>
      <w:r>
        <w:rPr>
          <w:rFonts w:hint="eastAsia" w:ascii="仿宋" w:hAnsi="仿宋" w:eastAsia="仿宋" w:cs="仿宋"/>
          <w:sz w:val="24"/>
          <w:szCs w:val="24"/>
          <w:highlight w:val="yellow"/>
        </w:rPr>
        <w:t>月</w:t>
      </w:r>
      <w:r>
        <w:rPr>
          <w:rFonts w:hint="eastAsia" w:ascii="仿宋" w:hAnsi="仿宋" w:eastAsia="仿宋" w:cs="仿宋"/>
          <w:sz w:val="24"/>
          <w:szCs w:val="24"/>
          <w:highlight w:val="yellow"/>
          <w:lang w:val="en-US" w:eastAsia="zh-CN"/>
        </w:rPr>
        <w:t>13</w:t>
      </w:r>
      <w:r>
        <w:rPr>
          <w:rFonts w:hint="eastAsia" w:ascii="仿宋" w:hAnsi="仿宋" w:eastAsia="仿宋" w:cs="仿宋"/>
          <w:sz w:val="24"/>
          <w:szCs w:val="24"/>
          <w:highlight w:val="yellow"/>
        </w:rPr>
        <w:t>日</w:t>
      </w:r>
      <w:r>
        <w:rPr>
          <w:rFonts w:hint="eastAsia" w:ascii="仿宋" w:hAnsi="仿宋" w:eastAsia="仿宋" w:cs="仿宋"/>
          <w:sz w:val="24"/>
          <w:szCs w:val="24"/>
          <w:highlight w:val="yellow"/>
          <w:lang w:val="en-US" w:eastAsia="zh-CN"/>
        </w:rPr>
        <w:t>17时</w:t>
      </w:r>
      <w:r>
        <w:rPr>
          <w:rFonts w:hint="eastAsia" w:ascii="仿宋" w:hAnsi="仿宋" w:eastAsia="仿宋" w:cs="仿宋"/>
          <w:sz w:val="24"/>
          <w:szCs w:val="24"/>
          <w:highlight w:val="yellow"/>
        </w:rPr>
        <w:t>；</w:t>
      </w:r>
    </w:p>
    <w:p w14:paraId="78EAD630">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yellow"/>
          <w:lang w:eastAsia="zh-CN"/>
        </w:rPr>
      </w:pPr>
      <w:r>
        <w:rPr>
          <w:rFonts w:hint="eastAsia" w:ascii="仿宋" w:hAnsi="仿宋" w:eastAsia="仿宋" w:cs="仿宋"/>
          <w:sz w:val="24"/>
          <w:szCs w:val="24"/>
          <w:highlight w:val="yellow"/>
        </w:rPr>
        <w:t>3、</w:t>
      </w:r>
      <w:r>
        <w:rPr>
          <w:rFonts w:hint="eastAsia" w:ascii="仿宋" w:hAnsi="仿宋" w:eastAsia="仿宋" w:cs="仿宋"/>
          <w:sz w:val="24"/>
          <w:szCs w:val="24"/>
          <w:highlight w:val="yellow"/>
          <w:lang w:val="en-US" w:eastAsia="zh-CN"/>
        </w:rPr>
        <w:t>谈判</w:t>
      </w:r>
      <w:r>
        <w:rPr>
          <w:rFonts w:hint="eastAsia" w:ascii="仿宋" w:hAnsi="仿宋" w:eastAsia="仿宋" w:cs="仿宋"/>
          <w:sz w:val="24"/>
          <w:szCs w:val="24"/>
          <w:highlight w:val="yellow"/>
        </w:rPr>
        <w:t>文件发售时间：</w:t>
      </w:r>
      <w:r>
        <w:rPr>
          <w:rFonts w:hint="eastAsia" w:ascii="仿宋" w:hAnsi="仿宋" w:eastAsia="仿宋" w:cs="仿宋"/>
          <w:sz w:val="24"/>
          <w:szCs w:val="24"/>
          <w:highlight w:val="yellow"/>
          <w:u w:val="none"/>
          <w:lang w:val="en-US" w:eastAsia="zh-CN"/>
        </w:rPr>
        <w:t>2024</w:t>
      </w:r>
      <w:r>
        <w:rPr>
          <w:rFonts w:hint="eastAsia" w:ascii="仿宋" w:hAnsi="仿宋" w:eastAsia="仿宋" w:cs="仿宋"/>
          <w:sz w:val="24"/>
          <w:szCs w:val="24"/>
          <w:highlight w:val="yellow"/>
        </w:rPr>
        <w:t>年</w:t>
      </w:r>
      <w:r>
        <w:rPr>
          <w:rFonts w:hint="eastAsia" w:ascii="仿宋" w:hAnsi="仿宋" w:eastAsia="仿宋" w:cs="仿宋"/>
          <w:sz w:val="24"/>
          <w:szCs w:val="24"/>
          <w:highlight w:val="yellow"/>
          <w:u w:val="none"/>
          <w:lang w:val="en-US" w:eastAsia="zh-CN"/>
        </w:rPr>
        <w:t>9</w:t>
      </w:r>
      <w:r>
        <w:rPr>
          <w:rFonts w:hint="eastAsia" w:ascii="仿宋" w:hAnsi="仿宋" w:eastAsia="仿宋" w:cs="仿宋"/>
          <w:sz w:val="24"/>
          <w:szCs w:val="24"/>
          <w:highlight w:val="yellow"/>
        </w:rPr>
        <w:t>月</w:t>
      </w:r>
      <w:r>
        <w:rPr>
          <w:rFonts w:hint="eastAsia" w:ascii="仿宋" w:hAnsi="仿宋" w:eastAsia="仿宋" w:cs="仿宋"/>
          <w:sz w:val="24"/>
          <w:szCs w:val="24"/>
          <w:highlight w:val="yellow"/>
          <w:u w:val="none"/>
          <w:lang w:val="en-US" w:eastAsia="zh-CN"/>
        </w:rPr>
        <w:t>12</w:t>
      </w:r>
      <w:r>
        <w:rPr>
          <w:rFonts w:hint="eastAsia" w:ascii="仿宋" w:hAnsi="仿宋" w:eastAsia="仿宋" w:cs="仿宋"/>
          <w:sz w:val="24"/>
          <w:szCs w:val="24"/>
          <w:highlight w:val="yellow"/>
        </w:rPr>
        <w:t>日</w:t>
      </w:r>
      <w:r>
        <w:rPr>
          <w:rFonts w:hint="eastAsia" w:ascii="仿宋" w:hAnsi="仿宋" w:eastAsia="仿宋" w:cs="仿宋"/>
          <w:sz w:val="24"/>
          <w:szCs w:val="24"/>
          <w:highlight w:val="yellow"/>
          <w:lang w:val="en-US" w:eastAsia="zh-CN"/>
        </w:rPr>
        <w:t>0时</w:t>
      </w:r>
      <w:r>
        <w:rPr>
          <w:rFonts w:hint="eastAsia" w:ascii="仿宋" w:hAnsi="仿宋" w:eastAsia="仿宋" w:cs="仿宋"/>
          <w:sz w:val="24"/>
          <w:szCs w:val="24"/>
          <w:highlight w:val="yellow"/>
        </w:rPr>
        <w:t>至</w:t>
      </w:r>
      <w:r>
        <w:rPr>
          <w:rFonts w:hint="eastAsia" w:ascii="仿宋" w:hAnsi="仿宋" w:eastAsia="仿宋" w:cs="仿宋"/>
          <w:sz w:val="24"/>
          <w:szCs w:val="24"/>
          <w:highlight w:val="yellow"/>
          <w:u w:val="none"/>
          <w:lang w:val="en-US" w:eastAsia="zh-CN"/>
        </w:rPr>
        <w:t>2024</w:t>
      </w:r>
      <w:r>
        <w:rPr>
          <w:rFonts w:hint="eastAsia" w:ascii="仿宋" w:hAnsi="仿宋" w:eastAsia="仿宋" w:cs="仿宋"/>
          <w:sz w:val="24"/>
          <w:szCs w:val="24"/>
          <w:highlight w:val="yellow"/>
        </w:rPr>
        <w:t>年</w:t>
      </w:r>
      <w:r>
        <w:rPr>
          <w:rFonts w:hint="eastAsia" w:ascii="仿宋" w:hAnsi="仿宋" w:eastAsia="仿宋" w:cs="仿宋"/>
          <w:sz w:val="24"/>
          <w:szCs w:val="24"/>
          <w:highlight w:val="yellow"/>
          <w:u w:val="none"/>
          <w:lang w:val="en-US" w:eastAsia="zh-CN"/>
        </w:rPr>
        <w:t>9</w:t>
      </w:r>
      <w:r>
        <w:rPr>
          <w:rFonts w:hint="eastAsia" w:ascii="仿宋" w:hAnsi="仿宋" w:eastAsia="仿宋" w:cs="仿宋"/>
          <w:sz w:val="24"/>
          <w:szCs w:val="24"/>
          <w:highlight w:val="yellow"/>
        </w:rPr>
        <w:t>月</w:t>
      </w:r>
      <w:r>
        <w:rPr>
          <w:rFonts w:hint="eastAsia" w:ascii="仿宋" w:hAnsi="仿宋" w:eastAsia="仿宋" w:cs="仿宋"/>
          <w:sz w:val="24"/>
          <w:szCs w:val="24"/>
          <w:highlight w:val="yellow"/>
          <w:u w:val="none"/>
          <w:lang w:val="en-US" w:eastAsia="zh-CN"/>
        </w:rPr>
        <w:t>13</w:t>
      </w:r>
      <w:r>
        <w:rPr>
          <w:rFonts w:hint="eastAsia" w:ascii="仿宋" w:hAnsi="仿宋" w:eastAsia="仿宋" w:cs="仿宋"/>
          <w:sz w:val="24"/>
          <w:szCs w:val="24"/>
          <w:highlight w:val="yellow"/>
        </w:rPr>
        <w:t>日</w:t>
      </w:r>
      <w:r>
        <w:rPr>
          <w:rFonts w:hint="eastAsia" w:ascii="仿宋" w:hAnsi="仿宋" w:eastAsia="仿宋" w:cs="仿宋"/>
          <w:sz w:val="24"/>
          <w:szCs w:val="24"/>
          <w:highlight w:val="yellow"/>
          <w:lang w:val="en-US" w:eastAsia="zh-CN"/>
        </w:rPr>
        <w:t>17时</w:t>
      </w:r>
      <w:r>
        <w:rPr>
          <w:rFonts w:hint="eastAsia" w:ascii="仿宋" w:hAnsi="仿宋" w:eastAsia="仿宋" w:cs="仿宋"/>
          <w:sz w:val="24"/>
          <w:szCs w:val="24"/>
          <w:highlight w:val="yellow"/>
          <w:lang w:eastAsia="zh-CN"/>
        </w:rPr>
        <w:t>；</w:t>
      </w:r>
    </w:p>
    <w:p w14:paraId="2E4A34A0">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yellow"/>
        </w:rPr>
      </w:pPr>
      <w:r>
        <w:rPr>
          <w:rFonts w:hint="eastAsia" w:ascii="仿宋" w:hAnsi="仿宋" w:eastAsia="仿宋" w:cs="仿宋"/>
          <w:sz w:val="24"/>
          <w:szCs w:val="24"/>
          <w:highlight w:val="yellow"/>
          <w:lang w:val="en-US" w:eastAsia="zh-CN"/>
        </w:rPr>
        <w:t>4、谈判</w:t>
      </w:r>
      <w:r>
        <w:rPr>
          <w:rFonts w:hint="eastAsia" w:ascii="仿宋" w:hAnsi="仿宋" w:eastAsia="仿宋" w:cs="仿宋"/>
          <w:sz w:val="24"/>
          <w:szCs w:val="24"/>
          <w:highlight w:val="yellow"/>
        </w:rPr>
        <w:t>文件：人民币</w:t>
      </w:r>
      <w:r>
        <w:rPr>
          <w:rFonts w:hint="eastAsia" w:ascii="仿宋" w:hAnsi="仿宋" w:eastAsia="仿宋" w:cs="仿宋"/>
          <w:sz w:val="24"/>
          <w:szCs w:val="24"/>
          <w:highlight w:val="yellow"/>
          <w:u w:val="none"/>
          <w:lang w:val="en-US" w:eastAsia="zh-CN"/>
        </w:rPr>
        <w:t>500</w:t>
      </w:r>
      <w:r>
        <w:rPr>
          <w:rFonts w:hint="eastAsia" w:ascii="仿宋" w:hAnsi="仿宋" w:eastAsia="仿宋" w:cs="仿宋"/>
          <w:sz w:val="24"/>
          <w:szCs w:val="24"/>
          <w:highlight w:val="yellow"/>
        </w:rPr>
        <w:t>元</w:t>
      </w:r>
      <w:r>
        <w:rPr>
          <w:rFonts w:hint="eastAsia" w:ascii="仿宋" w:hAnsi="仿宋" w:eastAsia="仿宋" w:cs="仿宋"/>
          <w:sz w:val="24"/>
          <w:szCs w:val="24"/>
          <w:highlight w:val="yellow"/>
          <w:lang w:val="en-US" w:eastAsia="zh-CN"/>
        </w:rPr>
        <w:t>/每套</w:t>
      </w:r>
      <w:r>
        <w:rPr>
          <w:rFonts w:hint="eastAsia" w:ascii="仿宋" w:hAnsi="仿宋" w:eastAsia="仿宋" w:cs="仿宋"/>
          <w:sz w:val="24"/>
          <w:szCs w:val="24"/>
          <w:highlight w:val="yellow"/>
        </w:rPr>
        <w:t>售后不退（汇款后将回执扫描后发联系人邮箱主题栏里写清楚项目名称）；</w:t>
      </w:r>
    </w:p>
    <w:p w14:paraId="1FE2BE11">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具体打款信息如下：</w:t>
      </w:r>
    </w:p>
    <w:p w14:paraId="7E5E37FE">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开户银行：兴业银行有限公司呼和浩特巨海城支行</w:t>
      </w:r>
    </w:p>
    <w:p w14:paraId="3ADDC082">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收款单位：内蒙古华晟工程项目管理有限公司呼和浩特一分公司</w:t>
      </w:r>
    </w:p>
    <w:p w14:paraId="5161B072">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开户银行账号：592120100100101521</w:t>
      </w:r>
    </w:p>
    <w:p w14:paraId="3D43238F">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开户银行行号：J1910033908301</w:t>
      </w:r>
    </w:p>
    <w:p w14:paraId="3DAE720D">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开标</w:t>
      </w:r>
      <w:r>
        <w:rPr>
          <w:rFonts w:hint="eastAsia" w:ascii="仿宋" w:hAnsi="仿宋" w:eastAsia="仿宋" w:cs="仿宋"/>
          <w:sz w:val="24"/>
          <w:szCs w:val="24"/>
          <w:highlight w:val="none"/>
        </w:rPr>
        <w:t>时间：</w:t>
      </w:r>
      <w:r>
        <w:rPr>
          <w:rFonts w:hint="eastAsia" w:ascii="仿宋" w:hAnsi="仿宋" w:eastAsia="仿宋" w:cs="仿宋"/>
          <w:sz w:val="24"/>
          <w:szCs w:val="24"/>
          <w:highlight w:val="none"/>
          <w:u w:val="none"/>
          <w:lang w:val="en-US" w:eastAsia="zh-CN"/>
        </w:rPr>
        <w:t>2024</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none"/>
          <w:lang w:val="en-US" w:eastAsia="zh-CN"/>
        </w:rPr>
        <w:t>9</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none"/>
          <w:lang w:val="en-US" w:eastAsia="zh-CN"/>
        </w:rPr>
        <w:t>14</w:t>
      </w:r>
      <w:r>
        <w:rPr>
          <w:rFonts w:hint="eastAsia" w:ascii="仿宋" w:hAnsi="仿宋" w:eastAsia="仿宋" w:cs="仿宋"/>
          <w:sz w:val="24"/>
          <w:szCs w:val="24"/>
          <w:highlight w:val="none"/>
        </w:rPr>
        <w:t>日</w:t>
      </w:r>
      <w:r>
        <w:rPr>
          <w:rFonts w:hint="eastAsia" w:ascii="仿宋" w:hAnsi="仿宋" w:eastAsia="仿宋" w:cs="仿宋"/>
          <w:sz w:val="24"/>
          <w:szCs w:val="24"/>
          <w:highlight w:val="none"/>
          <w:u w:val="none"/>
          <w:lang w:val="en-US" w:eastAsia="zh-CN"/>
        </w:rPr>
        <w:t>9</w:t>
      </w:r>
      <w:r>
        <w:rPr>
          <w:rFonts w:hint="eastAsia" w:ascii="仿宋" w:hAnsi="仿宋" w:eastAsia="仿宋" w:cs="仿宋"/>
          <w:sz w:val="24"/>
          <w:szCs w:val="24"/>
          <w:highlight w:val="none"/>
        </w:rPr>
        <w:t>时</w:t>
      </w:r>
      <w:r>
        <w:rPr>
          <w:rFonts w:hint="eastAsia" w:ascii="仿宋" w:hAnsi="仿宋" w:eastAsia="仿宋" w:cs="仿宋"/>
          <w:sz w:val="24"/>
          <w:szCs w:val="24"/>
          <w:highlight w:val="none"/>
          <w:lang w:val="en-US" w:eastAsia="zh-CN"/>
        </w:rPr>
        <w:t>30分</w:t>
      </w:r>
      <w:r>
        <w:rPr>
          <w:rFonts w:hint="eastAsia" w:ascii="仿宋" w:hAnsi="仿宋" w:eastAsia="仿宋" w:cs="仿宋"/>
          <w:sz w:val="24"/>
          <w:szCs w:val="24"/>
          <w:highlight w:val="none"/>
        </w:rPr>
        <w:t>（以发出的</w:t>
      </w:r>
      <w:r>
        <w:rPr>
          <w:rFonts w:hint="eastAsia" w:ascii="仿宋" w:hAnsi="仿宋" w:eastAsia="仿宋" w:cs="仿宋"/>
          <w:sz w:val="24"/>
          <w:szCs w:val="24"/>
          <w:highlight w:val="none"/>
          <w:lang w:val="en-US" w:eastAsia="zh-CN"/>
        </w:rPr>
        <w:t>谈判</w:t>
      </w:r>
      <w:r>
        <w:rPr>
          <w:rFonts w:hint="eastAsia" w:ascii="仿宋" w:hAnsi="仿宋" w:eastAsia="仿宋" w:cs="仿宋"/>
          <w:sz w:val="24"/>
          <w:szCs w:val="24"/>
          <w:highlight w:val="none"/>
        </w:rPr>
        <w:t>文件为准）；</w:t>
      </w:r>
    </w:p>
    <w:p w14:paraId="542570F3">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sz w:val="24"/>
          <w:szCs w:val="24"/>
          <w:highlight w:val="none"/>
        </w:rPr>
        <w:t>七、</w:t>
      </w:r>
      <w:r>
        <w:rPr>
          <w:rFonts w:hint="eastAsia" w:ascii="仿宋" w:hAnsi="仿宋" w:eastAsia="仿宋" w:cs="仿宋"/>
          <w:b/>
          <w:sz w:val="24"/>
          <w:szCs w:val="24"/>
          <w:highlight w:val="none"/>
          <w:lang w:val="en-US" w:eastAsia="zh-CN"/>
        </w:rPr>
        <w:t>开标地址</w:t>
      </w:r>
      <w:r>
        <w:rPr>
          <w:rFonts w:hint="eastAsia" w:ascii="仿宋" w:hAnsi="仿宋" w:eastAsia="仿宋" w:cs="仿宋"/>
          <w:b/>
          <w:sz w:val="24"/>
          <w:szCs w:val="24"/>
          <w:highlight w:val="none"/>
        </w:rPr>
        <w:t>：</w:t>
      </w:r>
      <w:r>
        <w:rPr>
          <w:rFonts w:hint="eastAsia" w:ascii="仿宋" w:hAnsi="仿宋" w:eastAsia="仿宋" w:cs="仿宋"/>
          <w:color w:val="000000"/>
          <w:sz w:val="24"/>
          <w:szCs w:val="24"/>
          <w:highlight w:val="none"/>
          <w:lang w:val="en-US" w:eastAsia="zh-CN"/>
        </w:rPr>
        <w:t>蒙牛集团电子采购招标平台（https://zbcg.mengniu.cn/）</w:t>
      </w:r>
    </w:p>
    <w:p w14:paraId="1EA3F085">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color w:val="FF0000"/>
          <w:sz w:val="24"/>
          <w:szCs w:val="24"/>
          <w:highlight w:val="none"/>
        </w:rPr>
      </w:pPr>
      <w:r>
        <w:rPr>
          <w:rFonts w:hint="eastAsia" w:ascii="仿宋" w:hAnsi="仿宋" w:eastAsia="仿宋" w:cs="仿宋"/>
          <w:b/>
          <w:color w:val="000000"/>
          <w:sz w:val="24"/>
          <w:szCs w:val="24"/>
          <w:highlight w:val="none"/>
        </w:rPr>
        <w:t>八、发布媒体：</w:t>
      </w:r>
    </w:p>
    <w:p w14:paraId="0C24F5A5">
      <w:pPr>
        <w:keepNext w:val="0"/>
        <w:keepLines w:val="0"/>
        <w:pageBreakBefore w:val="0"/>
        <w:widowControl w:val="0"/>
        <w:shd w:val="clear" w:color="auto" w:fill="FFFFFF"/>
        <w:kinsoku/>
        <w:wordWrap/>
        <w:overflowPunct/>
        <w:bidi w:val="0"/>
        <w:snapToGrid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蒙牛官网（http://www.mengniu.com.cn）及蒙牛内部平台</w:t>
      </w:r>
      <w:bookmarkStart w:id="1" w:name="_GoBack"/>
      <w:bookmarkEnd w:id="1"/>
    </w:p>
    <w:p w14:paraId="263EA531">
      <w:pPr>
        <w:keepNext w:val="0"/>
        <w:keepLines w:val="0"/>
        <w:pageBreakBefore w:val="0"/>
        <w:widowControl w:val="0"/>
        <w:shd w:val="clear" w:color="auto" w:fill="FFFFFF"/>
        <w:kinsoku/>
        <w:wordWrap/>
        <w:overflowPunct/>
        <w:bidi w:val="0"/>
        <w:snapToGrid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雅士利官网（https://www.yashili.com）</w:t>
      </w:r>
    </w:p>
    <w:p w14:paraId="58B60C3C">
      <w:pPr>
        <w:keepNext w:val="0"/>
        <w:keepLines w:val="0"/>
        <w:pageBreakBefore w:val="0"/>
        <w:widowControl w:val="0"/>
        <w:shd w:val="clear" w:color="auto" w:fill="FFFFFF"/>
        <w:kinsoku/>
        <w:wordWrap/>
        <w:overflowPunct/>
        <w:bidi w:val="0"/>
        <w:snapToGrid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中国采购与招标网（http://www.chinabidding.com.cn）</w:t>
      </w:r>
    </w:p>
    <w:p w14:paraId="68A8FE11">
      <w:pPr>
        <w:keepNext w:val="0"/>
        <w:keepLines w:val="0"/>
        <w:pageBreakBefore w:val="0"/>
        <w:widowControl w:val="0"/>
        <w:shd w:val="clear" w:color="auto" w:fill="FFFFFF"/>
        <w:kinsoku/>
        <w:wordWrap/>
        <w:overflowPunct/>
        <w:bidi w:val="0"/>
        <w:snapToGrid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蒙牛集团电子招标采购交易平台（</w:t>
      </w: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"https://……）"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https://zbcg.mengniu.cn）</w:t>
      </w:r>
      <w:r>
        <w:rPr>
          <w:rFonts w:hint="eastAsia" w:ascii="仿宋" w:hAnsi="仿宋" w:eastAsia="仿宋" w:cs="仿宋"/>
          <w:color w:val="000000"/>
          <w:sz w:val="24"/>
          <w:szCs w:val="24"/>
          <w:highlight w:val="none"/>
        </w:rPr>
        <w:fldChar w:fldCharType="end"/>
      </w:r>
    </w:p>
    <w:p w14:paraId="7289A651">
      <w:pPr>
        <w:keepNext w:val="0"/>
        <w:keepLines w:val="0"/>
        <w:pageBreakBefore w:val="0"/>
        <w:widowControl w:val="0"/>
        <w:shd w:val="clear" w:color="auto" w:fill="FFFFFF"/>
        <w:kinsoku/>
        <w:wordWrap/>
        <w:overflowPunct/>
        <w:bidi w:val="0"/>
        <w:snapToGrid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此公告只在以上平台发布，其他任何媒体转载无效。</w:t>
      </w:r>
    </w:p>
    <w:p w14:paraId="40A5AFC7">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九、采购招标实施方及联系方式：</w:t>
      </w:r>
    </w:p>
    <w:p w14:paraId="260FE331">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采购方：内蒙古蒙牛乳业（集团）股份有限公司</w:t>
      </w:r>
    </w:p>
    <w:p w14:paraId="37FB9068">
      <w:pPr>
        <w:pStyle w:val="13"/>
        <w:keepNext w:val="0"/>
        <w:keepLines w:val="0"/>
        <w:widowControl/>
        <w:suppressLineNumbers w:val="0"/>
        <w:spacing w:before="0" w:beforeAutospacing="0" w:after="0" w:afterAutospacing="0" w:line="360" w:lineRule="auto"/>
        <w:ind w:left="0" w:firstLine="480"/>
        <w:jc w:val="left"/>
        <w:rPr>
          <w:highlight w:val="none"/>
        </w:rPr>
      </w:pPr>
      <w:r>
        <w:rPr>
          <w:rFonts w:ascii="仿宋" w:hAnsi="仿宋" w:eastAsia="仿宋" w:cs="仿宋"/>
          <w:sz w:val="24"/>
          <w:szCs w:val="24"/>
          <w:highlight w:val="none"/>
        </w:rPr>
        <w:t>业务咨询联系人：张嘉馨                  </w:t>
      </w:r>
    </w:p>
    <w:p w14:paraId="3F7DEF4D">
      <w:pPr>
        <w:pStyle w:val="13"/>
        <w:keepNext w:val="0"/>
        <w:keepLines w:val="0"/>
        <w:widowControl/>
        <w:suppressLineNumbers w:val="0"/>
        <w:spacing w:before="0" w:beforeAutospacing="0" w:after="0" w:afterAutospacing="0" w:line="360" w:lineRule="auto"/>
        <w:ind w:left="0" w:firstLine="480"/>
        <w:jc w:val="left"/>
        <w:rPr>
          <w:highlight w:val="none"/>
        </w:rPr>
      </w:pPr>
      <w:r>
        <w:rPr>
          <w:rFonts w:hint="eastAsia" w:ascii="仿宋" w:hAnsi="仿宋" w:eastAsia="仿宋" w:cs="仿宋"/>
          <w:sz w:val="24"/>
          <w:szCs w:val="24"/>
          <w:highlight w:val="none"/>
        </w:rPr>
        <w:t>联系方式：15148996062</w:t>
      </w:r>
    </w:p>
    <w:p w14:paraId="29BF37EA">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十</w:t>
      </w:r>
      <w:r>
        <w:rPr>
          <w:rFonts w:hint="eastAsia" w:ascii="仿宋" w:hAnsi="仿宋" w:eastAsia="仿宋" w:cs="仿宋"/>
          <w:b/>
          <w:sz w:val="24"/>
          <w:szCs w:val="24"/>
          <w:highlight w:val="none"/>
        </w:rPr>
        <w:t>、代理机构及联系方式：</w:t>
      </w:r>
    </w:p>
    <w:p w14:paraId="65E91451">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十、采购代理公司及联系方式：</w:t>
      </w:r>
    </w:p>
    <w:p w14:paraId="3C5BB58F">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采购代理公司：内蒙古华晟工程项目管理有限公司</w:t>
      </w:r>
    </w:p>
    <w:p w14:paraId="1A3EE867">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报名联系人：李彦峰（13204800293）/赵慧峰（18647138769）</w:t>
      </w:r>
    </w:p>
    <w:p w14:paraId="0D132E05">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联系电话：0471-3957849/4918085 分机号：8013</w:t>
      </w:r>
    </w:p>
    <w:p w14:paraId="65C6F407">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电子邮箱：liyanfeng@nmghuasheng.com</w:t>
      </w:r>
    </w:p>
    <w:p w14:paraId="18869080">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联系地址：内蒙古自治区呼和浩特市赛罕区锡林南路盈嘉国际综合楼27层</w:t>
      </w:r>
    </w:p>
    <w:p w14:paraId="42F9BDCD">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十</w:t>
      </w:r>
      <w:r>
        <w:rPr>
          <w:rFonts w:hint="eastAsia" w:ascii="仿宋" w:hAnsi="仿宋" w:eastAsia="仿宋" w:cs="仿宋"/>
          <w:b/>
          <w:sz w:val="24"/>
          <w:szCs w:val="24"/>
          <w:highlight w:val="none"/>
          <w:lang w:val="en-US" w:eastAsia="zh-CN"/>
        </w:rPr>
        <w:t>一</w:t>
      </w:r>
      <w:r>
        <w:rPr>
          <w:rFonts w:hint="eastAsia" w:ascii="仿宋" w:hAnsi="仿宋" w:eastAsia="仿宋" w:cs="仿宋"/>
          <w:b/>
          <w:sz w:val="24"/>
          <w:szCs w:val="24"/>
          <w:highlight w:val="none"/>
        </w:rPr>
        <w:t>、监督单位及联系方式：</w:t>
      </w:r>
    </w:p>
    <w:p w14:paraId="073C9AF7">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监督单位：内蒙古蒙牛乳业（集团）股份有限公司招投标管理部</w:t>
      </w:r>
    </w:p>
    <w:p w14:paraId="585CAC88">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监 督 人:薛海燕                        </w:t>
      </w:r>
    </w:p>
    <w:p w14:paraId="519E6936">
      <w:pPr>
        <w:keepNext w:val="0"/>
        <w:keepLines w:val="0"/>
        <w:pageBreakBefore w:val="0"/>
        <w:widowControl w:val="0"/>
        <w:kinsoku/>
        <w:wordWrap/>
        <w:overflowPunct/>
        <w:bidi w:val="0"/>
        <w:spacing w:line="360" w:lineRule="auto"/>
        <w:ind w:left="0" w:leftChars="0" w:right="0"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联系方式</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0471-7393642</w:t>
      </w:r>
      <w:r>
        <w:rPr>
          <w:rFonts w:hint="eastAsia" w:ascii="仿宋" w:hAnsi="仿宋" w:eastAsia="仿宋" w:cs="仿宋"/>
          <w:sz w:val="24"/>
          <w:szCs w:val="24"/>
          <w:highlight w:val="none"/>
          <w:lang w:val="en-US" w:eastAsia="zh-CN"/>
        </w:rPr>
        <w:t>/15034952008</w:t>
      </w:r>
    </w:p>
    <w:p w14:paraId="708343AA">
      <w:pPr>
        <w:pStyle w:val="18"/>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电子邮件：</w:t>
      </w:r>
      <w:r>
        <w:rPr>
          <w:rFonts w:hint="eastAsia" w:ascii="仿宋" w:hAnsi="仿宋" w:eastAsia="仿宋" w:cs="仿宋"/>
          <w:sz w:val="24"/>
          <w:szCs w:val="24"/>
          <w:highlight w:val="none"/>
          <w:lang w:val="en-US" w:eastAsia="zh-CN"/>
        </w:rPr>
        <w:fldChar w:fldCharType="begin"/>
      </w:r>
      <w:r>
        <w:rPr>
          <w:rFonts w:hint="eastAsia" w:ascii="仿宋" w:hAnsi="仿宋" w:eastAsia="仿宋" w:cs="仿宋"/>
          <w:sz w:val="24"/>
          <w:szCs w:val="24"/>
          <w:highlight w:val="none"/>
          <w:lang w:val="en-US" w:eastAsia="zh-CN"/>
        </w:rPr>
        <w:instrText xml:space="preserve"> HYPERLINK "mailto:xuehaiyan@mengniu.cn" </w:instrText>
      </w:r>
      <w:r>
        <w:rPr>
          <w:rFonts w:hint="eastAsia" w:ascii="仿宋" w:hAnsi="仿宋" w:eastAsia="仿宋" w:cs="仿宋"/>
          <w:sz w:val="24"/>
          <w:szCs w:val="24"/>
          <w:highlight w:val="none"/>
          <w:lang w:val="en-US" w:eastAsia="zh-CN"/>
        </w:rPr>
        <w:fldChar w:fldCharType="separate"/>
      </w:r>
      <w:r>
        <w:rPr>
          <w:rFonts w:hint="eastAsia" w:ascii="仿宋" w:hAnsi="仿宋" w:eastAsia="仿宋" w:cs="仿宋"/>
          <w:sz w:val="24"/>
          <w:szCs w:val="24"/>
          <w:highlight w:val="none"/>
          <w:lang w:val="en-US" w:eastAsia="zh-CN"/>
        </w:rPr>
        <w:t>xuehaiyan</w:t>
      </w:r>
      <w:r>
        <w:rPr>
          <w:rStyle w:val="17"/>
          <w:rFonts w:hint="eastAsia" w:ascii="仿宋" w:hAnsi="仿宋" w:eastAsia="仿宋" w:cs="仿宋"/>
          <w:sz w:val="24"/>
          <w:szCs w:val="24"/>
          <w:highlight w:val="none"/>
          <w:lang w:val="en-US" w:eastAsia="zh-CN"/>
        </w:rPr>
        <w:t>@mengniu.cn</w:t>
      </w:r>
      <w:r>
        <w:rPr>
          <w:rFonts w:hint="eastAsia" w:ascii="仿宋" w:hAnsi="仿宋" w:eastAsia="仿宋" w:cs="仿宋"/>
          <w:sz w:val="24"/>
          <w:szCs w:val="24"/>
          <w:highlight w:val="none"/>
          <w:lang w:val="en-US" w:eastAsia="zh-CN"/>
        </w:rPr>
        <w:fldChar w:fldCharType="end"/>
      </w:r>
    </w:p>
    <w:p w14:paraId="42C2D605">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异议/投诉服务网址：</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"https://zbcg.mengniu.cn/" \l "/home" \t "_blank"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https://zbcg.mengniu.cn/#/home</w:t>
      </w:r>
      <w:r>
        <w:rPr>
          <w:rFonts w:hint="eastAsia" w:ascii="仿宋" w:hAnsi="仿宋" w:eastAsia="仿宋" w:cs="仿宋"/>
          <w:sz w:val="24"/>
          <w:szCs w:val="24"/>
          <w:highlight w:val="none"/>
        </w:rPr>
        <w:fldChar w:fldCharType="end"/>
      </w:r>
    </w:p>
    <w:p w14:paraId="09CFFD08">
      <w:pPr>
        <w:pStyle w:val="18"/>
        <w:spacing w:line="360" w:lineRule="auto"/>
        <w:ind w:firstLine="480" w:firstLineChars="200"/>
        <w:rPr>
          <w:rFonts w:hint="eastAsia" w:ascii="仿宋" w:hAnsi="仿宋" w:eastAsia="仿宋" w:cs="仿宋"/>
          <w:sz w:val="24"/>
          <w:szCs w:val="24"/>
          <w:highlight w:val="none"/>
          <w:lang w:val="en-US" w:eastAsia="zh-CN"/>
        </w:rPr>
      </w:pPr>
    </w:p>
    <w:p w14:paraId="09D2118F">
      <w:pPr>
        <w:pStyle w:val="22"/>
        <w:keepNext w:val="0"/>
        <w:keepLines w:val="0"/>
        <w:pageBreakBefore w:val="0"/>
        <w:numPr>
          <w:ilvl w:val="0"/>
          <w:numId w:val="0"/>
        </w:numPr>
        <w:tabs>
          <w:tab w:val="left" w:pos="993"/>
          <w:tab w:val="left" w:pos="1134"/>
        </w:tabs>
        <w:kinsoku/>
        <w:wordWrap/>
        <w:overflowPunct/>
        <w:topLinePunct w:val="0"/>
        <w:autoSpaceDE/>
        <w:autoSpaceDN/>
        <w:bidi w:val="0"/>
        <w:spacing w:line="360" w:lineRule="auto"/>
        <w:ind w:firstLine="960" w:firstLineChars="4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附件：</w:t>
      </w:r>
    </w:p>
    <w:p w14:paraId="3331916C">
      <w:pPr>
        <w:pStyle w:val="22"/>
        <w:keepNext w:val="0"/>
        <w:keepLines w:val="0"/>
        <w:pageBreakBefore w:val="0"/>
        <w:numPr>
          <w:ilvl w:val="0"/>
          <w:numId w:val="0"/>
        </w:numPr>
        <w:tabs>
          <w:tab w:val="left" w:pos="993"/>
          <w:tab w:val="left" w:pos="1134"/>
        </w:tabs>
        <w:kinsoku/>
        <w:wordWrap/>
        <w:overflowPunct/>
        <w:topLinePunct w:val="0"/>
        <w:autoSpaceDE/>
        <w:autoSpaceDN/>
        <w:bidi w:val="0"/>
        <w:spacing w:line="360" w:lineRule="auto"/>
        <w:ind w:firstLine="960" w:firstLineChars="4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1.法人证明、授权人证明</w:t>
      </w:r>
    </w:p>
    <w:p w14:paraId="0E62455F">
      <w:pPr>
        <w:pStyle w:val="22"/>
        <w:keepNext w:val="0"/>
        <w:keepLines w:val="0"/>
        <w:pageBreakBefore w:val="0"/>
        <w:numPr>
          <w:ilvl w:val="0"/>
          <w:numId w:val="0"/>
        </w:numPr>
        <w:tabs>
          <w:tab w:val="left" w:pos="993"/>
          <w:tab w:val="left" w:pos="1134"/>
        </w:tabs>
        <w:kinsoku/>
        <w:wordWrap/>
        <w:overflowPunct/>
        <w:topLinePunct w:val="0"/>
        <w:autoSpaceDE/>
        <w:autoSpaceDN/>
        <w:bidi w:val="0"/>
        <w:spacing w:line="360" w:lineRule="auto"/>
        <w:ind w:firstLine="960" w:firstLineChars="4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保密</w:t>
      </w:r>
      <w:r>
        <w:rPr>
          <w:rFonts w:hint="eastAsia" w:ascii="仿宋" w:hAnsi="仿宋" w:eastAsia="仿宋" w:cs="仿宋"/>
          <w:color w:val="000000"/>
          <w:sz w:val="24"/>
          <w:szCs w:val="24"/>
          <w:highlight w:val="none"/>
          <w:lang w:val="en-US" w:eastAsia="zh-CN"/>
        </w:rPr>
        <w:t>承诺书</w:t>
      </w:r>
    </w:p>
    <w:p w14:paraId="24A215E5">
      <w:pPr>
        <w:pStyle w:val="22"/>
        <w:keepNext w:val="0"/>
        <w:keepLines w:val="0"/>
        <w:pageBreakBefore w:val="0"/>
        <w:numPr>
          <w:ilvl w:val="0"/>
          <w:numId w:val="0"/>
        </w:numPr>
        <w:tabs>
          <w:tab w:val="left" w:pos="993"/>
          <w:tab w:val="left" w:pos="1134"/>
        </w:tabs>
        <w:kinsoku/>
        <w:wordWrap/>
        <w:overflowPunct/>
        <w:topLinePunct w:val="0"/>
        <w:autoSpaceDE/>
        <w:autoSpaceDN/>
        <w:bidi w:val="0"/>
        <w:spacing w:line="360" w:lineRule="auto"/>
        <w:ind w:firstLine="960" w:firstLineChars="4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lang w:val="en-US" w:eastAsia="zh-CN"/>
        </w:rPr>
        <w:t>非联合体竞谈，</w:t>
      </w:r>
      <w:r>
        <w:rPr>
          <w:rFonts w:hint="eastAsia" w:ascii="仿宋" w:hAnsi="仿宋" w:eastAsia="仿宋" w:cs="仿宋"/>
          <w:color w:val="000000"/>
          <w:sz w:val="24"/>
        </w:rPr>
        <w:t>不分包或转包</w:t>
      </w:r>
      <w:r>
        <w:rPr>
          <w:rFonts w:hint="eastAsia" w:ascii="仿宋" w:hAnsi="仿宋" w:eastAsia="仿宋" w:cs="仿宋"/>
          <w:color w:val="000000"/>
          <w:sz w:val="24"/>
          <w:lang w:val="en-US" w:eastAsia="zh-CN"/>
        </w:rPr>
        <w:t>声明</w:t>
      </w:r>
    </w:p>
    <w:p w14:paraId="1660CC36">
      <w:pPr>
        <w:pStyle w:val="18"/>
        <w:keepNext w:val="0"/>
        <w:keepLines w:val="0"/>
        <w:pageBreakBefore w:val="0"/>
        <w:kinsoku/>
        <w:overflowPunct/>
        <w:topLinePunct w:val="0"/>
        <w:bidi w:val="0"/>
        <w:spacing w:line="360" w:lineRule="auto"/>
        <w:ind w:left="0" w:leftChars="0" w:firstLine="480" w:firstLineChars="200"/>
        <w:jc w:val="left"/>
        <w:rPr>
          <w:rFonts w:hint="default" w:ascii="仿宋" w:hAnsi="仿宋" w:eastAsia="仿宋" w:cs="仿宋"/>
          <w:sz w:val="24"/>
          <w:szCs w:val="24"/>
          <w:highlight w:val="none"/>
          <w:lang w:val="en-US"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4.</w:t>
      </w:r>
      <w:r>
        <w:rPr>
          <w:rFonts w:hint="eastAsia" w:ascii="仿宋" w:hAnsi="仿宋" w:eastAsia="仿宋" w:cs="仿宋"/>
          <w:sz w:val="24"/>
          <w:szCs w:val="24"/>
          <w:highlight w:val="none"/>
          <w:lang w:val="en-US" w:eastAsia="zh-CN"/>
        </w:rPr>
        <w:t>MN_SRM_用户操作手册_供应商管理 V1.1 - 供应商注册及信息修改操作指南</w:t>
      </w:r>
    </w:p>
    <w:p w14:paraId="3494A8B0">
      <w:pPr>
        <w:keepNext w:val="0"/>
        <w:keepLines w:val="0"/>
        <w:pageBreakBefore w:val="0"/>
        <w:widowControl w:val="0"/>
        <w:numPr>
          <w:ilvl w:val="0"/>
          <w:numId w:val="0"/>
        </w:numPr>
        <w:kinsoku/>
        <w:wordWrap/>
        <w:overflowPunct/>
        <w:topLinePunct w:val="0"/>
        <w:bidi w:val="0"/>
        <w:spacing w:line="360" w:lineRule="auto"/>
        <w:ind w:left="0" w:leftChars="0" w:right="0" w:rightChars="0" w:firstLine="960" w:firstLineChars="400"/>
        <w:jc w:val="left"/>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highlight w:val="none"/>
          <w:lang w:val="en-US" w:eastAsia="zh-CN"/>
        </w:rPr>
        <w:t>5.供应商入库-登录-参与项目-报名等流程说明</w:t>
      </w:r>
    </w:p>
    <w:p w14:paraId="218D29A7">
      <w:pPr>
        <w:pStyle w:val="22"/>
        <w:keepNext w:val="0"/>
        <w:keepLines w:val="0"/>
        <w:pageBreakBefore w:val="0"/>
        <w:numPr>
          <w:ilvl w:val="0"/>
          <w:numId w:val="0"/>
        </w:numPr>
        <w:tabs>
          <w:tab w:val="left" w:pos="993"/>
          <w:tab w:val="left" w:pos="1134"/>
        </w:tabs>
        <w:kinsoku/>
        <w:wordWrap/>
        <w:overflowPunct/>
        <w:autoSpaceDE/>
        <w:autoSpaceDN/>
        <w:bidi w:val="0"/>
        <w:spacing w:line="360" w:lineRule="auto"/>
        <w:ind w:left="0" w:leftChars="0" w:firstLine="480" w:firstLineChars="200"/>
        <w:jc w:val="righ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内蒙古华晟工程项目管理有限公司</w:t>
      </w:r>
    </w:p>
    <w:p w14:paraId="4E623708">
      <w:pPr>
        <w:pStyle w:val="22"/>
        <w:keepNext w:val="0"/>
        <w:keepLines w:val="0"/>
        <w:pageBreakBefore w:val="0"/>
        <w:numPr>
          <w:ilvl w:val="0"/>
          <w:numId w:val="0"/>
        </w:numPr>
        <w:tabs>
          <w:tab w:val="left" w:pos="993"/>
          <w:tab w:val="left" w:pos="1134"/>
        </w:tabs>
        <w:kinsoku/>
        <w:wordWrap/>
        <w:overflowPunct/>
        <w:autoSpaceDE/>
        <w:autoSpaceDN/>
        <w:bidi w:val="0"/>
        <w:spacing w:line="360" w:lineRule="auto"/>
        <w:ind w:left="0" w:leftChars="0" w:firstLine="480" w:firstLineChars="200"/>
        <w:jc w:val="right"/>
        <w:textAlignment w:val="auto"/>
        <w:rPr>
          <w:rFonts w:hint="eastAsia" w:ascii="仿宋" w:hAnsi="仿宋" w:eastAsia="仿宋" w:cs="仿宋"/>
          <w:color w:val="000000"/>
          <w:sz w:val="24"/>
          <w:szCs w:val="24"/>
          <w:highlight w:val="yellow"/>
        </w:rPr>
      </w:pPr>
      <w:r>
        <w:rPr>
          <w:rFonts w:hint="eastAsia" w:ascii="仿宋" w:hAnsi="仿宋" w:eastAsia="仿宋" w:cs="仿宋"/>
          <w:color w:val="000000"/>
          <w:sz w:val="24"/>
          <w:szCs w:val="24"/>
          <w:highlight w:val="yellow"/>
        </w:rPr>
        <w:t>202</w:t>
      </w:r>
      <w:r>
        <w:rPr>
          <w:rFonts w:hint="eastAsia" w:ascii="仿宋" w:hAnsi="仿宋" w:eastAsia="仿宋" w:cs="仿宋"/>
          <w:color w:val="000000"/>
          <w:sz w:val="24"/>
          <w:szCs w:val="24"/>
          <w:highlight w:val="yellow"/>
          <w:lang w:val="en-US" w:eastAsia="zh-CN"/>
        </w:rPr>
        <w:t>4</w:t>
      </w:r>
      <w:r>
        <w:rPr>
          <w:rFonts w:hint="eastAsia" w:ascii="仿宋" w:hAnsi="仿宋" w:eastAsia="仿宋" w:cs="仿宋"/>
          <w:color w:val="000000"/>
          <w:sz w:val="24"/>
          <w:szCs w:val="24"/>
          <w:highlight w:val="yellow"/>
        </w:rPr>
        <w:t>年</w:t>
      </w:r>
      <w:r>
        <w:rPr>
          <w:rFonts w:hint="eastAsia" w:ascii="仿宋" w:hAnsi="仿宋" w:eastAsia="仿宋" w:cs="仿宋"/>
          <w:color w:val="000000"/>
          <w:sz w:val="24"/>
          <w:szCs w:val="24"/>
          <w:highlight w:val="yellow"/>
          <w:lang w:val="en-US" w:eastAsia="zh-CN"/>
        </w:rPr>
        <w:t>9</w:t>
      </w:r>
      <w:r>
        <w:rPr>
          <w:rFonts w:hint="eastAsia" w:ascii="仿宋" w:hAnsi="仿宋" w:eastAsia="仿宋" w:cs="仿宋"/>
          <w:color w:val="000000"/>
          <w:sz w:val="24"/>
          <w:szCs w:val="24"/>
          <w:highlight w:val="yellow"/>
        </w:rPr>
        <w:t>月</w:t>
      </w:r>
      <w:r>
        <w:rPr>
          <w:rFonts w:hint="eastAsia" w:ascii="仿宋" w:hAnsi="仿宋" w:eastAsia="仿宋" w:cs="仿宋"/>
          <w:color w:val="000000"/>
          <w:sz w:val="24"/>
          <w:szCs w:val="24"/>
          <w:highlight w:val="yellow"/>
          <w:lang w:val="en-US" w:eastAsia="zh-CN"/>
        </w:rPr>
        <w:t>12</w:t>
      </w:r>
      <w:r>
        <w:rPr>
          <w:rFonts w:hint="eastAsia" w:ascii="仿宋" w:hAnsi="仿宋" w:eastAsia="仿宋" w:cs="仿宋"/>
          <w:color w:val="000000"/>
          <w:sz w:val="24"/>
          <w:szCs w:val="24"/>
          <w:highlight w:val="yellow"/>
        </w:rPr>
        <w:t>日</w:t>
      </w:r>
    </w:p>
    <w:p w14:paraId="1000560C">
      <w:pPr>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132826C5">
      <w:pPr>
        <w:keepNext w:val="0"/>
        <w:keepLines w:val="0"/>
        <w:pageBreakBefore w:val="0"/>
        <w:kinsoku/>
        <w:wordWrap/>
        <w:overflowPunct/>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p>
    <w:p w14:paraId="5B711EDA">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法定代表人身份证明</w:t>
      </w:r>
    </w:p>
    <w:p w14:paraId="1CE9D5E1">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szCs w:val="21"/>
          <w:highlight w:val="none"/>
        </w:rPr>
      </w:pPr>
    </w:p>
    <w:p w14:paraId="2D19EC33">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竞谈人名称：                             </w:t>
      </w:r>
    </w:p>
    <w:p w14:paraId="6BDA9FF9">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单位性质：</w:t>
      </w:r>
      <w:r>
        <w:rPr>
          <w:rFonts w:hint="eastAsia" w:ascii="仿宋" w:hAnsi="仿宋" w:eastAsia="仿宋" w:cs="仿宋"/>
          <w:color w:val="000000"/>
          <w:sz w:val="24"/>
          <w:highlight w:val="none"/>
          <w:u w:val="single"/>
        </w:rPr>
        <w:t xml:space="preserve">                                </w:t>
      </w:r>
    </w:p>
    <w:p w14:paraId="6567CE23">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地    址：          </w:t>
      </w:r>
    </w:p>
    <w:p w14:paraId="6508F28E">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成立时间：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207C91B1">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经营期限：</w:t>
      </w:r>
      <w:r>
        <w:rPr>
          <w:rFonts w:hint="eastAsia" w:ascii="仿宋" w:hAnsi="仿宋" w:eastAsia="仿宋" w:cs="仿宋"/>
          <w:color w:val="000000"/>
          <w:sz w:val="24"/>
          <w:highlight w:val="none"/>
          <w:u w:val="single"/>
        </w:rPr>
        <w:t xml:space="preserve">                               </w:t>
      </w:r>
    </w:p>
    <w:p w14:paraId="2781B6A4">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姓名：</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性别：</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，身份证号码：</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，职务：</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系  </w:t>
      </w:r>
      <w:r>
        <w:rPr>
          <w:rFonts w:hint="eastAsia" w:ascii="仿宋" w:hAnsi="仿宋" w:eastAsia="仿宋" w:cs="仿宋"/>
          <w:color w:val="FF0000"/>
          <w:sz w:val="24"/>
          <w:highlight w:val="none"/>
          <w:u w:val="single"/>
        </w:rPr>
        <w:t>竞 谈 人 全 称</w:t>
      </w:r>
      <w:r>
        <w:rPr>
          <w:rFonts w:hint="eastAsia" w:ascii="仿宋" w:hAnsi="仿宋" w:eastAsia="仿宋" w:cs="仿宋"/>
          <w:color w:val="000000"/>
          <w:sz w:val="24"/>
          <w:highlight w:val="none"/>
        </w:rPr>
        <w:t>的法定代表人。</w:t>
      </w:r>
    </w:p>
    <w:p w14:paraId="68205317">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特此证明。</w:t>
      </w:r>
    </w:p>
    <w:p w14:paraId="16B9C4DD">
      <w:pPr>
        <w:keepNext w:val="0"/>
        <w:keepLines w:val="0"/>
        <w:pageBreakBefore w:val="0"/>
        <w:kinsoku/>
        <w:wordWrap/>
        <w:overflowPunct/>
        <w:topLinePunct w:val="0"/>
        <w:bidi w:val="0"/>
        <w:adjustRightInd w:val="0"/>
        <w:snapToGrid w:val="0"/>
        <w:spacing w:line="360" w:lineRule="auto"/>
        <w:ind w:right="1556" w:rightChars="741"/>
        <w:jc w:val="right"/>
        <w:rPr>
          <w:rFonts w:hint="eastAsia" w:ascii="仿宋" w:hAnsi="仿宋" w:eastAsia="仿宋" w:cs="仿宋"/>
          <w:sz w:val="24"/>
          <w:highlight w:val="none"/>
        </w:rPr>
      </w:pPr>
      <w:r>
        <w:rPr>
          <w:rFonts w:hint="eastAsia" w:ascii="仿宋" w:hAnsi="仿宋" w:eastAsia="仿宋" w:cs="仿宋"/>
          <w:sz w:val="24"/>
          <w:highlight w:val="none"/>
        </w:rPr>
        <w:t>竞谈人：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（盖公章）</w:t>
      </w:r>
    </w:p>
    <w:p w14:paraId="07C1EBA9">
      <w:pPr>
        <w:keepNext w:val="0"/>
        <w:keepLines w:val="0"/>
        <w:pageBreakBefore w:val="0"/>
        <w:kinsoku/>
        <w:wordWrap/>
        <w:overflowPunct/>
        <w:topLinePunct w:val="0"/>
        <w:bidi w:val="0"/>
        <w:adjustRightInd w:val="0"/>
        <w:snapToGrid w:val="0"/>
        <w:spacing w:line="360" w:lineRule="auto"/>
        <w:ind w:right="1556" w:rightChars="741"/>
        <w:jc w:val="right"/>
        <w:rPr>
          <w:rFonts w:hint="eastAsia" w:ascii="仿宋" w:hAnsi="仿宋" w:eastAsia="仿宋" w:cs="仿宋"/>
          <w:sz w:val="24"/>
          <w:highlight w:val="none"/>
        </w:rPr>
      </w:pPr>
    </w:p>
    <w:p w14:paraId="2F0D0DF3">
      <w:pPr>
        <w:keepNext w:val="0"/>
        <w:keepLines w:val="0"/>
        <w:pageBreakBefore w:val="0"/>
        <w:kinsoku/>
        <w:wordWrap/>
        <w:overflowPunct/>
        <w:topLinePunct w:val="0"/>
        <w:bidi w:val="0"/>
        <w:adjustRightInd w:val="0"/>
        <w:snapToGrid w:val="0"/>
        <w:spacing w:line="360" w:lineRule="auto"/>
        <w:ind w:right="1556" w:rightChars="741"/>
        <w:jc w:val="right"/>
        <w:rPr>
          <w:rFonts w:hint="eastAsia" w:ascii="仿宋" w:hAnsi="仿宋" w:eastAsia="仿宋" w:cs="仿宋"/>
          <w:sz w:val="24"/>
          <w:highlight w:val="none"/>
        </w:rPr>
      </w:pPr>
      <w:r>
        <w:rPr>
          <w:rFonts w:hint="eastAsia" w:ascii="仿宋" w:hAnsi="仿宋" w:eastAsia="仿宋" w:cs="仿宋"/>
          <w:sz w:val="24"/>
          <w:highlight w:val="none"/>
          <w:u w:val="single"/>
        </w:rPr>
        <w:t>2024</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73BD4DAD">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b/>
          <w:kern w:val="0"/>
          <w:sz w:val="36"/>
          <w:szCs w:val="36"/>
          <w:highlight w:val="none"/>
        </w:rPr>
      </w:pPr>
    </w:p>
    <w:tbl>
      <w:tblPr>
        <w:tblStyle w:val="15"/>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1842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14:paraId="136ECC9E">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r>
              <w:rPr>
                <w:rFonts w:hint="eastAsia" w:ascii="仿宋" w:hAnsi="仿宋" w:eastAsia="仿宋" w:cs="仿宋"/>
                <w:kern w:val="0"/>
                <w:sz w:val="24"/>
                <w:szCs w:val="36"/>
                <w:highlight w:val="none"/>
              </w:rPr>
              <w:t xml:space="preserve">法人身份证正面  </w:t>
            </w:r>
          </w:p>
        </w:tc>
        <w:tc>
          <w:tcPr>
            <w:tcW w:w="5060" w:type="dxa"/>
            <w:shd w:val="clear" w:color="auto" w:fill="auto"/>
          </w:tcPr>
          <w:p w14:paraId="0CEB7D76">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kern w:val="0"/>
                <w:sz w:val="24"/>
                <w:szCs w:val="36"/>
                <w:highlight w:val="none"/>
              </w:rPr>
            </w:pPr>
            <w:r>
              <w:rPr>
                <w:rFonts w:hint="eastAsia" w:ascii="仿宋" w:hAnsi="仿宋" w:eastAsia="仿宋" w:cs="仿宋"/>
                <w:kern w:val="0"/>
                <w:sz w:val="24"/>
                <w:szCs w:val="36"/>
                <w:highlight w:val="none"/>
              </w:rPr>
              <w:t xml:space="preserve">  法人身份证反面</w:t>
            </w:r>
          </w:p>
        </w:tc>
      </w:tr>
      <w:tr w14:paraId="7D10C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2" w:hRule="atLeast"/>
        </w:trPr>
        <w:tc>
          <w:tcPr>
            <w:tcW w:w="5060" w:type="dxa"/>
            <w:shd w:val="clear" w:color="auto" w:fill="auto"/>
          </w:tcPr>
          <w:p w14:paraId="4CB4AC35">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p>
        </w:tc>
        <w:tc>
          <w:tcPr>
            <w:tcW w:w="5060" w:type="dxa"/>
            <w:shd w:val="clear" w:color="auto" w:fill="auto"/>
          </w:tcPr>
          <w:p w14:paraId="4B9EE752">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p>
        </w:tc>
      </w:tr>
    </w:tbl>
    <w:p w14:paraId="29C3B1DA">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2"/>
          <w:highlight w:val="none"/>
        </w:rPr>
      </w:pPr>
    </w:p>
    <w:p w14:paraId="031044B5">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br w:type="page"/>
      </w:r>
    </w:p>
    <w:p w14:paraId="4E17205C">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法定代表人授权委托书</w:t>
      </w:r>
    </w:p>
    <w:p w14:paraId="2ECD1726">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color w:val="000000"/>
          <w:szCs w:val="21"/>
          <w:highlight w:val="none"/>
        </w:rPr>
      </w:pPr>
    </w:p>
    <w:p w14:paraId="788BE7D5">
      <w:pPr>
        <w:keepNext w:val="0"/>
        <w:keepLines w:val="0"/>
        <w:pageBreakBefore w:val="0"/>
        <w:kinsoku/>
        <w:wordWrap/>
        <w:overflowPunct/>
        <w:topLinePunct w:val="0"/>
        <w:bidi w:val="0"/>
        <w:adjustRightInd w:val="0"/>
        <w:snapToGrid w:val="0"/>
        <w:spacing w:line="360" w:lineRule="auto"/>
        <w:ind w:right="594" w:rightChars="283"/>
        <w:jc w:val="left"/>
        <w:rPr>
          <w:rFonts w:hint="eastAsia" w:ascii="仿宋" w:hAnsi="仿宋" w:eastAsia="仿宋" w:cs="仿宋"/>
          <w:sz w:val="24"/>
          <w:highlight w:val="none"/>
        </w:rPr>
      </w:pPr>
      <w:r>
        <w:rPr>
          <w:rFonts w:hint="eastAsia" w:ascii="仿宋" w:hAnsi="仿宋" w:eastAsia="仿宋" w:cs="仿宋"/>
          <w:sz w:val="24"/>
          <w:lang w:val="en-US" w:eastAsia="zh-CN"/>
        </w:rPr>
        <w:t xml:space="preserve"> </w:t>
      </w:r>
      <w:r>
        <w:rPr>
          <w:rFonts w:hint="eastAsia" w:ascii="仿宋" w:hAnsi="仿宋" w:eastAsia="仿宋" w:cs="仿宋"/>
          <w:sz w:val="24"/>
          <w:u w:val="single"/>
          <w:lang w:val="en-US" w:eastAsia="zh-CN"/>
        </w:rPr>
        <w:t>（采购人名称）</w:t>
      </w:r>
      <w:r>
        <w:rPr>
          <w:rFonts w:hint="eastAsia" w:ascii="仿宋" w:hAnsi="仿宋" w:eastAsia="仿宋" w:cs="仿宋"/>
          <w:sz w:val="24"/>
          <w:highlight w:val="none"/>
        </w:rPr>
        <w:t>：</w:t>
      </w:r>
    </w:p>
    <w:p w14:paraId="74A66D48">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rPr>
        <w:t xml:space="preserve">         （竞谈人全称）</w:t>
      </w:r>
      <w:r>
        <w:rPr>
          <w:rFonts w:hint="eastAsia" w:ascii="仿宋" w:hAnsi="仿宋" w:eastAsia="仿宋" w:cs="仿宋"/>
          <w:sz w:val="24"/>
          <w:highlight w:val="none"/>
        </w:rPr>
        <w:t>法定代表人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授权</w:t>
      </w:r>
      <w:r>
        <w:rPr>
          <w:rFonts w:hint="eastAsia" w:ascii="仿宋" w:hAnsi="仿宋" w:eastAsia="仿宋" w:cs="仿宋"/>
          <w:sz w:val="24"/>
          <w:highlight w:val="none"/>
          <w:u w:val="single"/>
        </w:rPr>
        <w:t>（代表姓名）</w:t>
      </w:r>
      <w:r>
        <w:rPr>
          <w:rFonts w:hint="eastAsia" w:ascii="仿宋" w:hAnsi="仿宋" w:eastAsia="仿宋" w:cs="仿宋"/>
          <w:sz w:val="24"/>
          <w:highlight w:val="none"/>
        </w:rPr>
        <w:t>为全权代表法定代表人，参加贵方组织的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 xml:space="preserve">标段          </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rPr>
        <w:t>竞谈活动中的一切事宜。</w:t>
      </w:r>
    </w:p>
    <w:p w14:paraId="2F7726F0">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法定代表人授权委托书有效期</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2024</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日至</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5CCFDBC5">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竞谈人全称（公章）：</w:t>
      </w:r>
    </w:p>
    <w:p w14:paraId="1946CE72">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 xml:space="preserve">法定代表人（签字）： </w:t>
      </w:r>
    </w:p>
    <w:p w14:paraId="649E7524">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 xml:space="preserve">授权委托人（签字）：  </w:t>
      </w:r>
    </w:p>
    <w:p w14:paraId="665F9662">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身份证号码：</w:t>
      </w:r>
    </w:p>
    <w:p w14:paraId="239F1F62">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联系电话：</w:t>
      </w:r>
    </w:p>
    <w:p w14:paraId="39E8481E">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职      务：</w:t>
      </w:r>
    </w:p>
    <w:p w14:paraId="151BCE71">
      <w:pPr>
        <w:keepNext w:val="0"/>
        <w:keepLines w:val="0"/>
        <w:pageBreakBefore w:val="0"/>
        <w:kinsoku/>
        <w:wordWrap/>
        <w:overflowPunct/>
        <w:topLinePunct w:val="0"/>
        <w:bidi w:val="0"/>
        <w:adjustRightInd w:val="0"/>
        <w:snapToGrid w:val="0"/>
        <w:spacing w:line="360" w:lineRule="auto"/>
        <w:ind w:left="850" w:leftChars="405" w:firstLine="56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2024年  月  日    </w:t>
      </w:r>
    </w:p>
    <w:p w14:paraId="7B1759BE">
      <w:pPr>
        <w:keepNext w:val="0"/>
        <w:keepLines w:val="0"/>
        <w:pageBreakBefore w:val="0"/>
        <w:kinsoku/>
        <w:wordWrap/>
        <w:overflowPunct/>
        <w:topLinePunct w:val="0"/>
        <w:bidi w:val="0"/>
        <w:adjustRightInd w:val="0"/>
        <w:snapToGrid w:val="0"/>
        <w:spacing w:line="360" w:lineRule="auto"/>
        <w:ind w:firstLine="851" w:firstLineChars="353"/>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附：</w:t>
      </w:r>
    </w:p>
    <w:tbl>
      <w:tblPr>
        <w:tblStyle w:val="15"/>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14AF3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14:paraId="5EA32309">
            <w:pPr>
              <w:keepNext w:val="0"/>
              <w:keepLines w:val="0"/>
              <w:pageBreakBefore w:val="0"/>
              <w:kinsoku/>
              <w:wordWrap/>
              <w:overflowPunct/>
              <w:topLinePunct w:val="0"/>
              <w:bidi w:val="0"/>
              <w:adjustRightInd w:val="0"/>
              <w:snapToGrid w:val="0"/>
              <w:spacing w:line="360" w:lineRule="auto"/>
              <w:ind w:left="128" w:leftChars="61"/>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法定代表人身份证复印件（正反面）</w:t>
            </w:r>
          </w:p>
        </w:tc>
        <w:tc>
          <w:tcPr>
            <w:tcW w:w="4253" w:type="dxa"/>
          </w:tcPr>
          <w:p w14:paraId="2D5389A4">
            <w:pPr>
              <w:keepNext w:val="0"/>
              <w:keepLines w:val="0"/>
              <w:pageBreakBefore w:val="0"/>
              <w:kinsoku/>
              <w:wordWrap/>
              <w:overflowPunct/>
              <w:topLinePunct w:val="0"/>
              <w:bidi w:val="0"/>
              <w:adjustRightInd w:val="0"/>
              <w:snapToGrid w:val="0"/>
              <w:spacing w:line="360" w:lineRule="auto"/>
              <w:ind w:left="128" w:leftChars="61"/>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授权委托人身份证复印件（正反面）</w:t>
            </w:r>
          </w:p>
        </w:tc>
      </w:tr>
    </w:tbl>
    <w:p w14:paraId="19DADD23">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授权委托人社保证明材料</w:t>
      </w:r>
    </w:p>
    <w:p w14:paraId="1799DA4C">
      <w:pPr>
        <w:pStyle w:val="14"/>
        <w:keepNext w:val="0"/>
        <w:keepLines w:val="0"/>
        <w:pageBreakBefore w:val="0"/>
        <w:kinsoku/>
        <w:wordWrap/>
        <w:overflowPunct/>
        <w:topLinePunct w:val="0"/>
        <w:bidi w:val="0"/>
        <w:adjustRightInd w:val="0"/>
        <w:snapToGrid w:val="0"/>
        <w:spacing w:after="0" w:line="360" w:lineRule="auto"/>
        <w:ind w:left="0" w:leftChars="0" w:firstLine="0" w:firstLineChars="0"/>
        <w:jc w:val="center"/>
        <w:rPr>
          <w:rFonts w:hint="eastAsia" w:ascii="仿宋" w:hAnsi="仿宋" w:eastAsia="仿宋" w:cs="仿宋"/>
          <w:iCs/>
          <w:color w:val="FF0000"/>
          <w:szCs w:val="21"/>
          <w:highlight w:val="none"/>
          <w:shd w:val="clear" w:color="auto" w:fill="FFFFFF"/>
        </w:rPr>
      </w:pPr>
      <w:r>
        <w:rPr>
          <w:rFonts w:hint="eastAsia" w:ascii="仿宋" w:hAnsi="仿宋" w:eastAsia="仿宋" w:cs="仿宋"/>
          <w:iCs/>
          <w:color w:val="FF0000"/>
          <w:szCs w:val="21"/>
          <w:highlight w:val="none"/>
          <w:shd w:val="clear" w:color="auto" w:fill="FFFFFF"/>
        </w:rPr>
        <w:t>（要求：1、具备社保局出具的材料；2、具备本单位名称及授权委托人姓名，近一年）</w:t>
      </w:r>
    </w:p>
    <w:p w14:paraId="6122E956">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i/>
          <w:color w:val="FF0000"/>
          <w:szCs w:val="21"/>
          <w:highlight w:val="none"/>
          <w:shd w:val="clear" w:color="auto" w:fill="FFFFFF"/>
        </w:rPr>
      </w:pPr>
      <w:r>
        <w:rPr>
          <w:rFonts w:hint="eastAsia" w:ascii="仿宋" w:hAnsi="仿宋" w:eastAsia="仿宋" w:cs="仿宋"/>
          <w:i/>
          <w:color w:val="FF0000"/>
          <w:szCs w:val="21"/>
          <w:highlight w:val="none"/>
          <w:shd w:val="clear" w:color="auto" w:fill="FFFFFF"/>
        </w:rPr>
        <w:br w:type="page"/>
      </w:r>
    </w:p>
    <w:p w14:paraId="0940CEC3">
      <w:pPr>
        <w:pStyle w:val="14"/>
        <w:keepNext w:val="0"/>
        <w:keepLines w:val="0"/>
        <w:pageBreakBefore w:val="0"/>
        <w:kinsoku/>
        <w:wordWrap/>
        <w:overflowPunct/>
        <w:topLinePunct w:val="0"/>
        <w:bidi w:val="0"/>
        <w:adjustRightInd w:val="0"/>
        <w:snapToGrid w:val="0"/>
        <w:spacing w:after="0" w:line="360" w:lineRule="auto"/>
        <w:ind w:left="0" w:leftChars="0" w:firstLine="0" w:firstLineChars="0"/>
        <w:rPr>
          <w:rFonts w:hint="eastAsia" w:ascii="仿宋" w:hAnsi="仿宋" w:eastAsia="仿宋" w:cs="仿宋"/>
          <w:b/>
          <w:sz w:val="28"/>
          <w:szCs w:val="28"/>
          <w:highlight w:val="none"/>
        </w:rPr>
      </w:pPr>
      <w:r>
        <w:rPr>
          <w:rFonts w:hint="eastAsia" w:ascii="仿宋" w:hAnsi="仿宋" w:eastAsia="仿宋" w:cs="仿宋"/>
          <w:sz w:val="28"/>
          <w:szCs w:val="28"/>
          <w:highlight w:val="none"/>
        </w:rPr>
        <w:t>附件2:</w:t>
      </w:r>
    </w:p>
    <w:p w14:paraId="05AE8F9C">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保密承诺书</w:t>
      </w:r>
    </w:p>
    <w:p w14:paraId="597F2A52">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甲方：</w:t>
      </w:r>
    </w:p>
    <w:p w14:paraId="0FD85004">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地址：</w:t>
      </w:r>
    </w:p>
    <w:p w14:paraId="7ABBA44E">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p>
    <w:p w14:paraId="3E71133F">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乙方（承诺方）：</w:t>
      </w:r>
    </w:p>
    <w:p w14:paraId="2080CA50">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地址：</w:t>
      </w:r>
    </w:p>
    <w:p w14:paraId="65E10223">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p>
    <w:p w14:paraId="41DE313B">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甲乙双方就</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蒙牛乳业雅士利山西工厂全自动充氮包装机设备采购及改造项目</w:t>
      </w:r>
      <w:r>
        <w:rPr>
          <w:rFonts w:hint="eastAsia" w:ascii="仿宋" w:hAnsi="仿宋" w:eastAsia="仿宋" w:cs="仿宋"/>
          <w:color w:val="000000"/>
          <w:kern w:val="0"/>
          <w:sz w:val="24"/>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60BDD03F">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一、定义</w:t>
      </w:r>
    </w:p>
    <w:p w14:paraId="2ECF1859">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A4B55EB">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（一）由乙方以书面文件证明：该等信息已于披露之前已由乙方所持有；</w:t>
      </w:r>
    </w:p>
    <w:p w14:paraId="19D22CB7">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（二）已公开发表或非因乙方作为或不作为的原因，已向公众披露；</w:t>
      </w:r>
    </w:p>
    <w:p w14:paraId="1E6AD9AF">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（三）已由甲方书面同意乙方公开；</w:t>
      </w:r>
    </w:p>
    <w:p w14:paraId="0406C7E9">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（四）由乙方在未使用该等机密信息的情形下独立开发；</w:t>
      </w:r>
    </w:p>
    <w:p w14:paraId="3FD38560">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（五）乙方从第三方处合法、正当地取得，且该第三方对该等机密信息不承担保密义务。</w:t>
      </w:r>
    </w:p>
    <w:p w14:paraId="22EC4BA2">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二、保密</w:t>
      </w:r>
    </w:p>
    <w:p w14:paraId="16922347">
      <w:pPr>
        <w:pStyle w:val="11"/>
        <w:keepNext w:val="0"/>
        <w:keepLines w:val="0"/>
        <w:pageBreakBefore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63645965">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三、公开</w:t>
      </w:r>
    </w:p>
    <w:p w14:paraId="2F8F4480">
      <w:pPr>
        <w:pStyle w:val="11"/>
        <w:keepNext w:val="0"/>
        <w:keepLines w:val="0"/>
        <w:pageBreakBefore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14:paraId="3582BBF6">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四、强制性披露</w:t>
      </w:r>
    </w:p>
    <w:p w14:paraId="03ACE9FF">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C16B47F">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五、返还资料</w:t>
      </w:r>
    </w:p>
    <w:p w14:paraId="47448156">
      <w:pPr>
        <w:pStyle w:val="7"/>
        <w:keepNext w:val="0"/>
        <w:keepLines w:val="0"/>
        <w:pageBreakBefore w:val="0"/>
        <w:kinsoku/>
        <w:wordWrap/>
        <w:overflowPunct/>
        <w:topLinePunct w:val="0"/>
        <w:bidi w:val="0"/>
        <w:adjustRightInd w:val="0"/>
        <w:snapToGrid w:val="0"/>
        <w:spacing w:after="0" w:line="360" w:lineRule="auto"/>
        <w:ind w:left="0" w:leftChars="0"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14A883FE">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六、非授权许可</w:t>
      </w:r>
    </w:p>
    <w:p w14:paraId="2C7633DB">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288D7800">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七、义务限定</w:t>
      </w:r>
    </w:p>
    <w:p w14:paraId="20EA7245">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kern w:val="0"/>
          <w:sz w:val="24"/>
          <w:highlight w:val="none"/>
        </w:rPr>
        <w:t>本承诺书不得被视作或解释为甲方有义务向乙方提供任何信息、与乙方进行商业交易或签订任何最终协议，除非甲方决定向乙方提供信息或与其签订与交易有关的最终协议。</w:t>
      </w:r>
    </w:p>
    <w:p w14:paraId="5088EFED">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八、信息准确性</w:t>
      </w:r>
    </w:p>
    <w:p w14:paraId="2D30AB28">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kern w:val="0"/>
          <w:sz w:val="24"/>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5F5B03BE">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九、期限</w:t>
      </w:r>
    </w:p>
    <w:p w14:paraId="0E59F968">
      <w:pPr>
        <w:pStyle w:val="7"/>
        <w:keepNext w:val="0"/>
        <w:keepLines w:val="0"/>
        <w:pageBreakBefore w:val="0"/>
        <w:kinsoku/>
        <w:wordWrap/>
        <w:overflowPunct/>
        <w:topLinePunct w:val="0"/>
        <w:bidi w:val="0"/>
        <w:adjustRightInd w:val="0"/>
        <w:snapToGrid w:val="0"/>
        <w:spacing w:after="0" w:line="360" w:lineRule="auto"/>
        <w:ind w:left="0" w:leftChars="0"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本承诺书中乙方之保密义务应自乙方收到机密信息之日起</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年内持续有效，且不因承诺书目的之达成而终止。</w:t>
      </w:r>
    </w:p>
    <w:p w14:paraId="1DC5234E">
      <w:pPr>
        <w:pStyle w:val="7"/>
        <w:keepNext w:val="0"/>
        <w:keepLines w:val="0"/>
        <w:pageBreakBefore w:val="0"/>
        <w:kinsoku/>
        <w:wordWrap/>
        <w:overflowPunct/>
        <w:topLinePunct w:val="0"/>
        <w:bidi w:val="0"/>
        <w:adjustRightInd w:val="0"/>
        <w:snapToGrid w:val="0"/>
        <w:spacing w:after="0" w:line="360" w:lineRule="auto"/>
        <w:ind w:left="0" w:leftChars="0"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w:t>
      </w:r>
      <w:r>
        <w:rPr>
          <w:rFonts w:hint="eastAsia" w:ascii="仿宋" w:hAnsi="仿宋" w:eastAsia="仿宋" w:cs="仿宋"/>
          <w:color w:val="FF0000"/>
          <w:kern w:val="0"/>
          <w:sz w:val="24"/>
          <w:highlight w:val="none"/>
        </w:rPr>
        <w:t>说明：保密期限请业务按照实际需求进行约定，建议最低期限不得低于五年。</w:t>
      </w:r>
      <w:r>
        <w:rPr>
          <w:rFonts w:hint="eastAsia" w:ascii="仿宋" w:hAnsi="仿宋" w:eastAsia="仿宋" w:cs="仿宋"/>
          <w:color w:val="000000"/>
          <w:kern w:val="0"/>
          <w:sz w:val="24"/>
          <w:highlight w:val="none"/>
        </w:rPr>
        <w:t>）</w:t>
      </w:r>
    </w:p>
    <w:p w14:paraId="47BCD104">
      <w:pPr>
        <w:pStyle w:val="6"/>
        <w:keepNext w:val="0"/>
        <w:keepLines w:val="0"/>
        <w:pageBreakBefore w:val="0"/>
        <w:kinsoku/>
        <w:wordWrap/>
        <w:overflowPunct/>
        <w:topLinePunct w:val="0"/>
        <w:bidi w:val="0"/>
        <w:adjustRightInd w:val="0"/>
        <w:snapToGrid w:val="0"/>
        <w:spacing w:after="0"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kern w:val="0"/>
          <w:sz w:val="24"/>
          <w:highlight w:val="none"/>
        </w:rPr>
        <w:t>十、</w:t>
      </w:r>
      <w:r>
        <w:rPr>
          <w:rFonts w:hint="eastAsia" w:ascii="仿宋" w:hAnsi="仿宋" w:eastAsia="仿宋" w:cs="仿宋"/>
          <w:b/>
          <w:color w:val="000000"/>
          <w:sz w:val="24"/>
          <w:highlight w:val="none"/>
        </w:rPr>
        <w:t>补充条款</w:t>
      </w:r>
    </w:p>
    <w:p w14:paraId="10DF9AE0">
      <w:pPr>
        <w:pStyle w:val="6"/>
        <w:keepNext w:val="0"/>
        <w:keepLines w:val="0"/>
        <w:pageBreakBefore w:val="0"/>
        <w:kinsoku/>
        <w:wordWrap/>
        <w:overflowPunct/>
        <w:topLinePunct w:val="0"/>
        <w:bidi w:val="0"/>
        <w:adjustRightInd w:val="0"/>
        <w:snapToGrid w:val="0"/>
        <w:spacing w:after="0"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（一）合规条款</w:t>
      </w:r>
    </w:p>
    <w:p w14:paraId="12861511">
      <w:pPr>
        <w:pStyle w:val="6"/>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FCBB607">
      <w:pPr>
        <w:pStyle w:val="6"/>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2、履约行为合规承诺：乙方承诺具有履行本承诺书约定的能力，且履行行为符合现行法律法规等规范性文件的要求。</w:t>
      </w:r>
    </w:p>
    <w:p w14:paraId="4990B506">
      <w:pPr>
        <w:pStyle w:val="6"/>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A387818">
      <w:pPr>
        <w:pStyle w:val="6"/>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4、合规检查：乙方应积极配合甲方的合规检查，理解并接受甲方对乙方的合规管理要求，同意配合合规检查，并不得隐瞒任何可能对甲方利益造成影响的信息。</w:t>
      </w:r>
    </w:p>
    <w:p w14:paraId="17AF1B4E">
      <w:pPr>
        <w:pStyle w:val="6"/>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5、劳动用工</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乙方承诺不雇佣、使用童工，保障其员工的劳动合法权益，不纵容、支持、实施歧视、威胁员工的行为或发布相关言论。</w:t>
      </w:r>
    </w:p>
    <w:p w14:paraId="2C62D89A">
      <w:pPr>
        <w:pStyle w:val="6"/>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3A292668">
      <w:pPr>
        <w:pStyle w:val="6"/>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7、严格约束乙方员工及其代理人：乙方承诺严格遵守合规承诺条款，若乙方员工及乙方的代理人或代理机构违反相关承诺即视为乙方违反。</w:t>
      </w:r>
    </w:p>
    <w:p w14:paraId="686BEB7F">
      <w:pPr>
        <w:pStyle w:val="6"/>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59A01EB">
      <w:pPr>
        <w:pStyle w:val="6"/>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000AC8E9">
      <w:pPr>
        <w:pStyle w:val="6"/>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10、责任承担：如果乙方违反前述合规承诺条款，甲方有权要求乙方承担因此而给甲方造成的全部损失。</w:t>
      </w:r>
    </w:p>
    <w:p w14:paraId="1B4A6B70">
      <w:pPr>
        <w:pStyle w:val="6"/>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12、适用原则：本承诺书中合规条款对乙方的要求与承诺书中其他条款不一致的，以对乙方要求更高的条款为准。</w:t>
      </w:r>
    </w:p>
    <w:p w14:paraId="1DF310EC">
      <w:pPr>
        <w:pStyle w:val="6"/>
        <w:keepNext w:val="0"/>
        <w:keepLines w:val="0"/>
        <w:pageBreakBefore w:val="0"/>
        <w:kinsoku/>
        <w:wordWrap/>
        <w:overflowPunct/>
        <w:topLinePunct w:val="0"/>
        <w:bidi w:val="0"/>
        <w:adjustRightInd w:val="0"/>
        <w:snapToGrid w:val="0"/>
        <w:spacing w:after="0"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（二）环境保护</w:t>
      </w:r>
    </w:p>
    <w:p w14:paraId="2883C031">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A3CCC3F">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（三）附件法律效力条款</w:t>
      </w:r>
    </w:p>
    <w:p w14:paraId="71C77F5D">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sz w:val="24"/>
          <w:highlight w:val="none"/>
        </w:rPr>
        <w:t>本着接受法律上之约束的意向，双方特此同意本承诺书全部附录、附件等均为本承诺书不可分割的部分，共同构成双方就达成的全部承诺书，与本承诺书具有同等法律效力。</w:t>
      </w:r>
    </w:p>
    <w:p w14:paraId="6D5F77FC">
      <w:pPr>
        <w:pStyle w:val="6"/>
        <w:keepNext w:val="0"/>
        <w:keepLines w:val="0"/>
        <w:pageBreakBefore w:val="0"/>
        <w:kinsoku/>
        <w:wordWrap/>
        <w:overflowPunct/>
        <w:topLinePunct w:val="0"/>
        <w:bidi w:val="0"/>
        <w:adjustRightInd w:val="0"/>
        <w:snapToGrid w:val="0"/>
        <w:spacing w:after="0" w:line="360" w:lineRule="auto"/>
        <w:ind w:firstLine="482" w:firstLineChars="200"/>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十一、适用法律</w:t>
      </w:r>
    </w:p>
    <w:p w14:paraId="05E609FC">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4"/>
          <w:highlight w:val="none"/>
          <w:u w:val="single"/>
        </w:rPr>
        <w:t>【  】</w:t>
      </w:r>
      <w:r>
        <w:rPr>
          <w:rFonts w:hint="eastAsia" w:ascii="仿宋" w:hAnsi="仿宋" w:eastAsia="仿宋" w:cs="仿宋"/>
          <w:color w:val="000000"/>
          <w:kern w:val="0"/>
          <w:sz w:val="24"/>
          <w:highlight w:val="none"/>
        </w:rPr>
        <w:t>种方式解决：</w:t>
      </w:r>
    </w:p>
    <w:p w14:paraId="351DA8B7">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（一）向呼和浩特仲裁委员会申请仲裁。因仲裁产生的包括但不限于仲裁费、律师费、调查费、差旅费等，由乙方承担。</w:t>
      </w:r>
    </w:p>
    <w:p w14:paraId="39F442C1">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（二）向甲方所在地有管辖权的人民法院提起诉讼。因诉讼产生的包括但不限于诉讼费、律师费、调查费、差旅费等，由乙方承担。</w:t>
      </w:r>
    </w:p>
    <w:p w14:paraId="7AF04C62">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FF0000"/>
          <w:kern w:val="0"/>
          <w:sz w:val="24"/>
          <w:highlight w:val="none"/>
        </w:rPr>
      </w:pPr>
      <w:r>
        <w:rPr>
          <w:rFonts w:hint="eastAsia" w:ascii="仿宋" w:hAnsi="仿宋" w:eastAsia="仿宋" w:cs="仿宋"/>
          <w:color w:val="FF0000"/>
          <w:kern w:val="0"/>
          <w:sz w:val="24"/>
          <w:highlight w:val="none"/>
        </w:rPr>
        <w:t>（说明：签署主体为内蒙古蒙牛乳业（集团）股份有限公司，地址为内蒙古呼市和林格尔县盛乐经济园区时，争议解决方式应选择第（二）种方式解决；其他主体签署时应选择第（一）种方式解决。）</w:t>
      </w:r>
    </w:p>
    <w:p w14:paraId="0F757AE2">
      <w:pPr>
        <w:pStyle w:val="6"/>
        <w:keepNext w:val="0"/>
        <w:keepLines w:val="0"/>
        <w:pageBreakBefore w:val="0"/>
        <w:kinsoku/>
        <w:wordWrap/>
        <w:overflowPunct/>
        <w:topLinePunct w:val="0"/>
        <w:bidi w:val="0"/>
        <w:adjustRightInd w:val="0"/>
        <w:snapToGrid w:val="0"/>
        <w:spacing w:after="0" w:line="360" w:lineRule="auto"/>
        <w:ind w:firstLine="482" w:firstLineChars="200"/>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十二、违约责任及救济</w:t>
      </w:r>
    </w:p>
    <w:p w14:paraId="74387000">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498E231C">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color w:val="000000"/>
          <w:kern w:val="0"/>
          <w:sz w:val="24"/>
          <w:highlight w:val="none"/>
        </w:rPr>
      </w:pPr>
      <w:r>
        <w:rPr>
          <w:rFonts w:hint="eastAsia" w:ascii="仿宋" w:hAnsi="仿宋" w:eastAsia="仿宋" w:cs="仿宋"/>
          <w:b/>
          <w:color w:val="000000"/>
          <w:kern w:val="0"/>
          <w:sz w:val="24"/>
          <w:highlight w:val="none"/>
        </w:rPr>
        <w:t>如果</w:t>
      </w:r>
      <w:r>
        <w:rPr>
          <w:rFonts w:hint="eastAsia" w:ascii="仿宋" w:hAnsi="仿宋" w:eastAsia="仿宋" w:cs="仿宋"/>
          <w:b/>
          <w:bCs/>
          <w:color w:val="000000"/>
          <w:kern w:val="0"/>
          <w:sz w:val="24"/>
          <w:highlight w:val="none"/>
        </w:rPr>
        <w:t>乙方</w:t>
      </w:r>
      <w:r>
        <w:rPr>
          <w:rFonts w:hint="eastAsia" w:ascii="仿宋" w:hAnsi="仿宋" w:eastAsia="仿宋" w:cs="仿宋"/>
          <w:b/>
          <w:color w:val="000000"/>
          <w:kern w:val="0"/>
          <w:sz w:val="24"/>
          <w:highlight w:val="none"/>
        </w:rPr>
        <w:t>违反本承诺书的任何规定情形</w:t>
      </w:r>
      <w:r>
        <w:rPr>
          <w:rFonts w:hint="eastAsia" w:ascii="仿宋" w:hAnsi="仿宋" w:eastAsia="仿宋" w:cs="仿宋"/>
          <w:b/>
          <w:color w:val="000000"/>
          <w:kern w:val="0"/>
          <w:sz w:val="24"/>
          <w:highlight w:val="none"/>
          <w:lang w:eastAsia="zh-CN"/>
        </w:rPr>
        <w:t>，</w:t>
      </w:r>
      <w:r>
        <w:rPr>
          <w:rFonts w:hint="eastAsia" w:ascii="仿宋" w:hAnsi="仿宋" w:eastAsia="仿宋" w:cs="仿宋"/>
          <w:b/>
          <w:color w:val="000000"/>
          <w:kern w:val="0"/>
          <w:sz w:val="24"/>
          <w:highlight w:val="none"/>
        </w:rPr>
        <w:t>则甲方有权将乙方拉入蒙牛供应商黑名单，乙方应积极配合甲方在10个工作日内收回已经泄露的信息。</w:t>
      </w:r>
    </w:p>
    <w:p w14:paraId="1A37F507">
      <w:pPr>
        <w:pStyle w:val="6"/>
        <w:keepNext w:val="0"/>
        <w:keepLines w:val="0"/>
        <w:pageBreakBefore w:val="0"/>
        <w:kinsoku/>
        <w:wordWrap/>
        <w:overflowPunct/>
        <w:topLinePunct w:val="0"/>
        <w:bidi w:val="0"/>
        <w:adjustRightInd w:val="0"/>
        <w:snapToGrid w:val="0"/>
        <w:spacing w:after="0" w:line="360" w:lineRule="auto"/>
        <w:ind w:firstLine="482" w:firstLineChars="200"/>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十三、生效及份数</w:t>
      </w:r>
    </w:p>
    <w:p w14:paraId="41E2E0F2">
      <w:pPr>
        <w:pStyle w:val="6"/>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本承诺书经乙方签字盖章之日起生效。</w:t>
      </w:r>
    </w:p>
    <w:p w14:paraId="7E7AF1FD">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b/>
          <w:bCs/>
          <w:sz w:val="24"/>
          <w:highlight w:val="none"/>
        </w:rPr>
      </w:pPr>
    </w:p>
    <w:p w14:paraId="6EF64D2F">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（以下无正文）</w:t>
      </w:r>
    </w:p>
    <w:p w14:paraId="5E243F66">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p>
    <w:p w14:paraId="1D0ECC13">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乙方（承诺方）：</w:t>
      </w:r>
    </w:p>
    <w:p w14:paraId="1B5E72AC">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代表人：</w:t>
      </w:r>
    </w:p>
    <w:p w14:paraId="155A8251">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日期：</w:t>
      </w:r>
    </w:p>
    <w:p w14:paraId="32D1B195">
      <w:pP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br w:type="page"/>
      </w:r>
    </w:p>
    <w:p w14:paraId="733BA986">
      <w:pPr>
        <w:spacing w:line="360" w:lineRule="auto"/>
        <w:ind w:firstLine="480" w:firstLineChars="200"/>
        <w:jc w:val="left"/>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附件3</w:t>
      </w:r>
    </w:p>
    <w:p w14:paraId="23EA3F21">
      <w:pPr>
        <w:spacing w:line="360" w:lineRule="auto"/>
        <w:ind w:firstLine="480" w:firstLineChars="200"/>
        <w:jc w:val="center"/>
        <w:rPr>
          <w:rFonts w:hint="eastAsia" w:ascii="仿宋" w:hAnsi="仿宋" w:eastAsia="仿宋" w:cs="仿宋"/>
          <w:color w:val="000000"/>
          <w:sz w:val="24"/>
        </w:rPr>
      </w:pPr>
      <w:r>
        <w:rPr>
          <w:rFonts w:hint="eastAsia" w:ascii="仿宋" w:hAnsi="仿宋" w:eastAsia="仿宋" w:cs="仿宋"/>
          <w:color w:val="000000"/>
          <w:sz w:val="24"/>
          <w:lang w:val="en-US" w:eastAsia="zh-CN"/>
        </w:rPr>
        <w:t>非联合体竞谈，</w:t>
      </w:r>
      <w:r>
        <w:rPr>
          <w:rFonts w:hint="eastAsia" w:ascii="仿宋" w:hAnsi="仿宋" w:eastAsia="仿宋" w:cs="仿宋"/>
          <w:color w:val="000000"/>
          <w:sz w:val="24"/>
        </w:rPr>
        <w:t>不分包或转包</w:t>
      </w:r>
      <w:r>
        <w:rPr>
          <w:rFonts w:hint="eastAsia" w:ascii="仿宋" w:hAnsi="仿宋" w:eastAsia="仿宋" w:cs="仿宋"/>
          <w:color w:val="000000"/>
          <w:sz w:val="24"/>
          <w:lang w:val="en-US" w:eastAsia="zh-CN"/>
        </w:rPr>
        <w:t>声明</w:t>
      </w:r>
    </w:p>
    <w:p w14:paraId="36A4C402">
      <w:pPr>
        <w:pStyle w:val="6"/>
        <w:overflowPunct w:val="0"/>
        <w:spacing w:line="360" w:lineRule="auto"/>
        <w:ind w:left="0"/>
        <w:jc w:val="both"/>
        <w:rPr>
          <w:rFonts w:hint="eastAsia" w:ascii="仿宋" w:hAnsi="仿宋" w:eastAsia="仿宋" w:cs="仿宋"/>
          <w:kern w:val="2"/>
          <w:sz w:val="24"/>
          <w:szCs w:val="24"/>
        </w:rPr>
      </w:pPr>
    </w:p>
    <w:p w14:paraId="7B31DCB2">
      <w:pPr>
        <w:pStyle w:val="6"/>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致:</w:t>
      </w:r>
    </w:p>
    <w:p w14:paraId="4784258F">
      <w:pPr>
        <w:pStyle w:val="6"/>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关于"</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项目(招标项目编号:</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)"项目，我公司未采取联合体形式参与本项目</w:t>
      </w:r>
      <w:r>
        <w:rPr>
          <w:rFonts w:hint="eastAsia" w:ascii="仿宋" w:hAnsi="仿宋" w:eastAsia="仿宋" w:cs="仿宋"/>
          <w:kern w:val="2"/>
          <w:sz w:val="24"/>
          <w:szCs w:val="24"/>
          <w:lang w:val="en-US" w:eastAsia="zh-CN"/>
        </w:rPr>
        <w:t>竞谈，承诺中标后不分包或转包</w:t>
      </w:r>
      <w:r>
        <w:rPr>
          <w:rFonts w:hint="eastAsia" w:ascii="仿宋" w:hAnsi="仿宋" w:eastAsia="仿宋" w:cs="仿宋"/>
          <w:kern w:val="2"/>
          <w:sz w:val="24"/>
          <w:szCs w:val="24"/>
        </w:rPr>
        <w:t>。</w:t>
      </w:r>
    </w:p>
    <w:p w14:paraId="25BF29E4">
      <w:pPr>
        <w:pStyle w:val="6"/>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p>
    <w:p w14:paraId="228ADED4">
      <w:pPr>
        <w:pStyle w:val="6"/>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p>
    <w:p w14:paraId="460BF0C8">
      <w:pPr>
        <w:pStyle w:val="6"/>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特此声明!</w:t>
      </w:r>
    </w:p>
    <w:p w14:paraId="36EDB623">
      <w:pPr>
        <w:pStyle w:val="6"/>
        <w:overflowPunct w:val="0"/>
        <w:spacing w:line="360" w:lineRule="auto"/>
        <w:ind w:left="0"/>
        <w:jc w:val="both"/>
        <w:rPr>
          <w:rFonts w:hint="eastAsia" w:ascii="仿宋" w:hAnsi="仿宋" w:eastAsia="仿宋" w:cs="仿宋"/>
          <w:kern w:val="2"/>
          <w:sz w:val="24"/>
          <w:szCs w:val="24"/>
        </w:rPr>
      </w:pPr>
    </w:p>
    <w:p w14:paraId="60274EBF">
      <w:pPr>
        <w:pStyle w:val="6"/>
        <w:overflowPunct w:val="0"/>
        <w:spacing w:line="360" w:lineRule="auto"/>
        <w:ind w:left="0"/>
        <w:jc w:val="right"/>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xx公司</w:t>
      </w:r>
    </w:p>
    <w:p w14:paraId="4418918C">
      <w:pPr>
        <w:pStyle w:val="6"/>
        <w:overflowPunct w:val="0"/>
        <w:spacing w:line="360" w:lineRule="auto"/>
        <w:ind w:left="0"/>
        <w:jc w:val="right"/>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xx日期</w:t>
      </w:r>
    </w:p>
    <w:p w14:paraId="3D99C215">
      <w:pPr>
        <w:pStyle w:val="6"/>
        <w:overflowPunct w:val="0"/>
        <w:spacing w:line="360" w:lineRule="auto"/>
        <w:ind w:left="0"/>
        <w:jc w:val="both"/>
        <w:rPr>
          <w:rFonts w:hint="eastAsia" w:ascii="仿宋" w:hAnsi="仿宋" w:eastAsia="仿宋" w:cs="仿宋"/>
          <w:kern w:val="2"/>
          <w:sz w:val="24"/>
          <w:szCs w:val="24"/>
        </w:rPr>
      </w:pPr>
    </w:p>
    <w:p w14:paraId="1094B5F6">
      <w:pPr>
        <w:pStyle w:val="6"/>
        <w:overflowPunct w:val="0"/>
        <w:spacing w:line="360" w:lineRule="auto"/>
        <w:ind w:left="0"/>
        <w:jc w:val="both"/>
        <w:rPr>
          <w:rFonts w:hint="eastAsia" w:ascii="仿宋" w:hAnsi="仿宋" w:eastAsia="仿宋" w:cs="仿宋"/>
          <w:kern w:val="2"/>
          <w:sz w:val="24"/>
          <w:szCs w:val="24"/>
        </w:rPr>
      </w:pPr>
    </w:p>
    <w:p w14:paraId="48357032">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p>
    <w:p w14:paraId="705B046F">
      <w:pPr>
        <w:rPr>
          <w:rFonts w:hint="eastAsia" w:ascii="仿宋" w:hAnsi="仿宋" w:eastAsia="仿宋" w:cs="仿宋"/>
          <w:b/>
          <w:kern w:val="0"/>
          <w:sz w:val="24"/>
          <w:szCs w:val="24"/>
          <w:highlight w:val="none"/>
          <w:lang w:val="en-US" w:eastAsia="zh-CN"/>
        </w:rPr>
      </w:pPr>
    </w:p>
    <w:sectPr>
      <w:pgSz w:w="11906" w:h="16838"/>
      <w:pgMar w:top="1417"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Segoe Print"/>
    <w:panose1 w:val="020B0606030804020204"/>
    <w:charset w:val="00"/>
    <w:family w:val="roman"/>
    <w:pitch w:val="default"/>
    <w:sig w:usb0="00000000" w:usb1="00000000" w:usb2="0A246029" w:usb3="0400200C" w:csb0="600001FF" w:csb1="DFFF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MTgyYWZmNTY1Y2JmZDU2NzkwOWMzOGM0OTcwZDgifQ=="/>
  </w:docVars>
  <w:rsids>
    <w:rsidRoot w:val="00222DA1"/>
    <w:rsid w:val="00040744"/>
    <w:rsid w:val="00080551"/>
    <w:rsid w:val="000814A0"/>
    <w:rsid w:val="000F2E0F"/>
    <w:rsid w:val="00146358"/>
    <w:rsid w:val="00193ADD"/>
    <w:rsid w:val="001A03FA"/>
    <w:rsid w:val="001B0DD4"/>
    <w:rsid w:val="001F00E8"/>
    <w:rsid w:val="00222DA1"/>
    <w:rsid w:val="00224EE3"/>
    <w:rsid w:val="00262594"/>
    <w:rsid w:val="002C32F1"/>
    <w:rsid w:val="002C35BD"/>
    <w:rsid w:val="002C68EC"/>
    <w:rsid w:val="003078E2"/>
    <w:rsid w:val="00343CA2"/>
    <w:rsid w:val="00350D65"/>
    <w:rsid w:val="00433476"/>
    <w:rsid w:val="00434050"/>
    <w:rsid w:val="004D3ABF"/>
    <w:rsid w:val="00504FC2"/>
    <w:rsid w:val="00525508"/>
    <w:rsid w:val="005258FA"/>
    <w:rsid w:val="00537D61"/>
    <w:rsid w:val="0055156D"/>
    <w:rsid w:val="005829BD"/>
    <w:rsid w:val="00582DCB"/>
    <w:rsid w:val="00590CB8"/>
    <w:rsid w:val="005A01C3"/>
    <w:rsid w:val="005C06DB"/>
    <w:rsid w:val="0061759D"/>
    <w:rsid w:val="006B493B"/>
    <w:rsid w:val="006E0EB4"/>
    <w:rsid w:val="0071652C"/>
    <w:rsid w:val="0077309A"/>
    <w:rsid w:val="00776C95"/>
    <w:rsid w:val="00795FD5"/>
    <w:rsid w:val="007F46E7"/>
    <w:rsid w:val="0083035A"/>
    <w:rsid w:val="008D5360"/>
    <w:rsid w:val="00964DED"/>
    <w:rsid w:val="0098478F"/>
    <w:rsid w:val="009B29A3"/>
    <w:rsid w:val="00A13E06"/>
    <w:rsid w:val="00AA46FF"/>
    <w:rsid w:val="00AE2811"/>
    <w:rsid w:val="00AF23AE"/>
    <w:rsid w:val="00AF4203"/>
    <w:rsid w:val="00B036A4"/>
    <w:rsid w:val="00B62398"/>
    <w:rsid w:val="00B765BA"/>
    <w:rsid w:val="00BA2172"/>
    <w:rsid w:val="00BD5E29"/>
    <w:rsid w:val="00C731D6"/>
    <w:rsid w:val="00C74CAA"/>
    <w:rsid w:val="00C7598F"/>
    <w:rsid w:val="00CB03B6"/>
    <w:rsid w:val="00CC23B1"/>
    <w:rsid w:val="00CD2455"/>
    <w:rsid w:val="00D059C8"/>
    <w:rsid w:val="00D34260"/>
    <w:rsid w:val="00D61436"/>
    <w:rsid w:val="00D830DF"/>
    <w:rsid w:val="00DB31B5"/>
    <w:rsid w:val="00E14B98"/>
    <w:rsid w:val="00E8505F"/>
    <w:rsid w:val="00ED18C7"/>
    <w:rsid w:val="00EF0E25"/>
    <w:rsid w:val="00F428E1"/>
    <w:rsid w:val="00F74DD0"/>
    <w:rsid w:val="00F95612"/>
    <w:rsid w:val="019A7543"/>
    <w:rsid w:val="02145195"/>
    <w:rsid w:val="025E6117"/>
    <w:rsid w:val="02FF4BC4"/>
    <w:rsid w:val="03B94246"/>
    <w:rsid w:val="06402C0B"/>
    <w:rsid w:val="07A34FF1"/>
    <w:rsid w:val="08337E2C"/>
    <w:rsid w:val="084D31AF"/>
    <w:rsid w:val="0BF113B5"/>
    <w:rsid w:val="0C3852CC"/>
    <w:rsid w:val="0C935C3C"/>
    <w:rsid w:val="0D8F55BF"/>
    <w:rsid w:val="0FE7703D"/>
    <w:rsid w:val="12483364"/>
    <w:rsid w:val="12857DF3"/>
    <w:rsid w:val="144D68B0"/>
    <w:rsid w:val="14DC4893"/>
    <w:rsid w:val="154D47EE"/>
    <w:rsid w:val="15B036FB"/>
    <w:rsid w:val="1A357E1A"/>
    <w:rsid w:val="1B0B43F3"/>
    <w:rsid w:val="1B0D514B"/>
    <w:rsid w:val="1CED3535"/>
    <w:rsid w:val="1D7E4010"/>
    <w:rsid w:val="1F364001"/>
    <w:rsid w:val="1FFE1506"/>
    <w:rsid w:val="206A6B9C"/>
    <w:rsid w:val="20E013D0"/>
    <w:rsid w:val="21E67E2B"/>
    <w:rsid w:val="242157C3"/>
    <w:rsid w:val="24F22597"/>
    <w:rsid w:val="25132644"/>
    <w:rsid w:val="255E46D4"/>
    <w:rsid w:val="26292F4C"/>
    <w:rsid w:val="262E286F"/>
    <w:rsid w:val="26453613"/>
    <w:rsid w:val="273B4842"/>
    <w:rsid w:val="27FE22A3"/>
    <w:rsid w:val="294A160C"/>
    <w:rsid w:val="2B820298"/>
    <w:rsid w:val="2BB67A3C"/>
    <w:rsid w:val="2CB744E2"/>
    <w:rsid w:val="2D67693D"/>
    <w:rsid w:val="2EA339A5"/>
    <w:rsid w:val="2EB931C8"/>
    <w:rsid w:val="30A60587"/>
    <w:rsid w:val="311C39E0"/>
    <w:rsid w:val="31BD4501"/>
    <w:rsid w:val="31D812D4"/>
    <w:rsid w:val="32A56DA7"/>
    <w:rsid w:val="332D7CE1"/>
    <w:rsid w:val="34387C61"/>
    <w:rsid w:val="34AA79F0"/>
    <w:rsid w:val="35661288"/>
    <w:rsid w:val="35FC1BEC"/>
    <w:rsid w:val="36034F57"/>
    <w:rsid w:val="37131E56"/>
    <w:rsid w:val="382D0783"/>
    <w:rsid w:val="38467698"/>
    <w:rsid w:val="3A027D7C"/>
    <w:rsid w:val="3A0932AA"/>
    <w:rsid w:val="3A79211C"/>
    <w:rsid w:val="3B0C0B24"/>
    <w:rsid w:val="3CD82080"/>
    <w:rsid w:val="3D76516C"/>
    <w:rsid w:val="3E6212CC"/>
    <w:rsid w:val="3F0A35CC"/>
    <w:rsid w:val="3F9C0442"/>
    <w:rsid w:val="43187EFB"/>
    <w:rsid w:val="44AD2F6F"/>
    <w:rsid w:val="44D707C6"/>
    <w:rsid w:val="46905E67"/>
    <w:rsid w:val="469945A1"/>
    <w:rsid w:val="46A65751"/>
    <w:rsid w:val="46E66AAD"/>
    <w:rsid w:val="47C16834"/>
    <w:rsid w:val="47C456ED"/>
    <w:rsid w:val="490E3DD1"/>
    <w:rsid w:val="49E00988"/>
    <w:rsid w:val="4AE000BE"/>
    <w:rsid w:val="4B186467"/>
    <w:rsid w:val="4BDE7972"/>
    <w:rsid w:val="4DE07805"/>
    <w:rsid w:val="4E0A035C"/>
    <w:rsid w:val="4E3A3511"/>
    <w:rsid w:val="4E9223C8"/>
    <w:rsid w:val="4FB94DAD"/>
    <w:rsid w:val="510D4856"/>
    <w:rsid w:val="514276D7"/>
    <w:rsid w:val="51476006"/>
    <w:rsid w:val="51C55131"/>
    <w:rsid w:val="52185DF5"/>
    <w:rsid w:val="53906D4C"/>
    <w:rsid w:val="539C73EC"/>
    <w:rsid w:val="53DD0D26"/>
    <w:rsid w:val="5447483C"/>
    <w:rsid w:val="54C87412"/>
    <w:rsid w:val="55545149"/>
    <w:rsid w:val="565F3FE4"/>
    <w:rsid w:val="578452AF"/>
    <w:rsid w:val="580E5A83"/>
    <w:rsid w:val="58926B7B"/>
    <w:rsid w:val="593C2162"/>
    <w:rsid w:val="5B2439B2"/>
    <w:rsid w:val="5BB46942"/>
    <w:rsid w:val="5D8F1B64"/>
    <w:rsid w:val="5DEA21A7"/>
    <w:rsid w:val="5FAD37A1"/>
    <w:rsid w:val="5FC01634"/>
    <w:rsid w:val="60155303"/>
    <w:rsid w:val="61404E37"/>
    <w:rsid w:val="61BA27D8"/>
    <w:rsid w:val="65456AFD"/>
    <w:rsid w:val="67825B46"/>
    <w:rsid w:val="687EE6F0"/>
    <w:rsid w:val="6A05798A"/>
    <w:rsid w:val="6A3A6264"/>
    <w:rsid w:val="6C755C79"/>
    <w:rsid w:val="6CA81631"/>
    <w:rsid w:val="6DFF3A4C"/>
    <w:rsid w:val="6ED861A0"/>
    <w:rsid w:val="6FA959D1"/>
    <w:rsid w:val="6FD64C81"/>
    <w:rsid w:val="6FDC1165"/>
    <w:rsid w:val="70892DF9"/>
    <w:rsid w:val="71053B85"/>
    <w:rsid w:val="74BB2FF2"/>
    <w:rsid w:val="77E9279A"/>
    <w:rsid w:val="77F008AA"/>
    <w:rsid w:val="793632CD"/>
    <w:rsid w:val="79F20261"/>
    <w:rsid w:val="7A724B63"/>
    <w:rsid w:val="7C3E5CD1"/>
    <w:rsid w:val="7D8D55F8"/>
    <w:rsid w:val="7E394D59"/>
    <w:rsid w:val="7ED177D0"/>
    <w:rsid w:val="7F4D7871"/>
    <w:rsid w:val="7F967F89"/>
    <w:rsid w:val="7FA01393"/>
    <w:rsid w:val="7FDFEC21"/>
    <w:rsid w:val="D2E82F5F"/>
    <w:rsid w:val="EF76AE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cs="Times New Roman"/>
      <w:snapToGrid/>
      <w:lang w:eastAsia="zh-CN"/>
    </w:rPr>
  </w:style>
  <w:style w:type="paragraph" w:styleId="3">
    <w:name w:val="toa heading"/>
    <w:basedOn w:val="1"/>
    <w:next w:val="1"/>
    <w:qFormat/>
    <w:uiPriority w:val="0"/>
    <w:pPr>
      <w:spacing w:before="120"/>
    </w:pPr>
    <w:rPr>
      <w:rFonts w:ascii="DejaVu Sans" w:hAnsi="DejaVu Sans"/>
      <w:sz w:val="24"/>
    </w:rPr>
  </w:style>
  <w:style w:type="paragraph" w:styleId="4">
    <w:name w:val="annotation text"/>
    <w:basedOn w:val="1"/>
    <w:semiHidden/>
    <w:unhideWhenUsed/>
    <w:qFormat/>
    <w:uiPriority w:val="99"/>
    <w:pPr>
      <w:jc w:val="left"/>
    </w:pPr>
  </w:style>
  <w:style w:type="paragraph" w:styleId="5">
    <w:name w:val="Body Text 3"/>
    <w:basedOn w:val="1"/>
    <w:qFormat/>
    <w:uiPriority w:val="0"/>
    <w:rPr>
      <w:rFonts w:ascii="宋体" w:hAnsi="Calibri"/>
      <w:sz w:val="24"/>
      <w:szCs w:val="20"/>
    </w:rPr>
  </w:style>
  <w:style w:type="paragraph" w:styleId="6">
    <w:name w:val="Body Text"/>
    <w:basedOn w:val="1"/>
    <w:qFormat/>
    <w:uiPriority w:val="1"/>
    <w:pPr>
      <w:autoSpaceDE w:val="0"/>
      <w:autoSpaceDN w:val="0"/>
      <w:adjustRightInd w:val="0"/>
      <w:spacing w:line="240" w:lineRule="auto"/>
      <w:ind w:left="108"/>
      <w:jc w:val="left"/>
    </w:pPr>
    <w:rPr>
      <w:rFonts w:ascii="仿宋" w:eastAsia="仿宋" w:cs="仿宋"/>
      <w:kern w:val="0"/>
      <w:sz w:val="32"/>
      <w:szCs w:val="32"/>
    </w:rPr>
  </w:style>
  <w:style w:type="paragraph" w:styleId="7">
    <w:name w:val="Body Text Indent"/>
    <w:basedOn w:val="1"/>
    <w:qFormat/>
    <w:uiPriority w:val="0"/>
    <w:pPr>
      <w:spacing w:line="360" w:lineRule="auto"/>
      <w:ind w:firstLine="420"/>
    </w:pPr>
    <w:rPr>
      <w:szCs w:val="20"/>
    </w:rPr>
  </w:style>
  <w:style w:type="paragraph" w:styleId="8">
    <w:name w:val="Balloon Text"/>
    <w:basedOn w:val="1"/>
    <w:link w:val="21"/>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Indent 3"/>
    <w:basedOn w:val="1"/>
    <w:qFormat/>
    <w:uiPriority w:val="0"/>
    <w:pPr>
      <w:ind w:left="720"/>
    </w:pPr>
    <w:rPr>
      <w:szCs w:val="20"/>
    </w:rPr>
  </w:style>
  <w:style w:type="paragraph" w:styleId="12">
    <w:name w:val="Body Text 2"/>
    <w:basedOn w:val="1"/>
    <w:qFormat/>
    <w:uiPriority w:val="99"/>
    <w:pPr>
      <w:spacing w:after="120" w:line="480" w:lineRule="auto"/>
    </w:pPr>
    <w:rPr>
      <w:rFonts w:ascii="Calibri" w:hAnsi="Calibri"/>
    </w:rPr>
  </w:style>
  <w:style w:type="paragraph" w:styleId="1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4">
    <w:name w:val="Body Text First Indent 2"/>
    <w:basedOn w:val="7"/>
    <w:unhideWhenUsed/>
    <w:qFormat/>
    <w:uiPriority w:val="0"/>
    <w:pPr>
      <w:ind w:firstLine="420" w:firstLineChars="200"/>
    </w:pPr>
  </w:style>
  <w:style w:type="character" w:styleId="17">
    <w:name w:val="Hyperlink"/>
    <w:basedOn w:val="16"/>
    <w:qFormat/>
    <w:uiPriority w:val="0"/>
    <w:rPr>
      <w:color w:val="0000FF"/>
      <w:u w:val="none"/>
    </w:rPr>
  </w:style>
  <w:style w:type="paragraph" w:customStyle="1" w:styleId="18">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9">
    <w:name w:val="页眉 Char"/>
    <w:basedOn w:val="16"/>
    <w:link w:val="10"/>
    <w:qFormat/>
    <w:uiPriority w:val="99"/>
    <w:rPr>
      <w:sz w:val="18"/>
      <w:szCs w:val="18"/>
    </w:rPr>
  </w:style>
  <w:style w:type="character" w:customStyle="1" w:styleId="20">
    <w:name w:val="页脚 Char"/>
    <w:basedOn w:val="16"/>
    <w:link w:val="9"/>
    <w:qFormat/>
    <w:uiPriority w:val="99"/>
    <w:rPr>
      <w:sz w:val="18"/>
      <w:szCs w:val="18"/>
    </w:rPr>
  </w:style>
  <w:style w:type="character" w:customStyle="1" w:styleId="21">
    <w:name w:val="批注框文本 Char"/>
    <w:basedOn w:val="16"/>
    <w:link w:val="8"/>
    <w:semiHidden/>
    <w:qFormat/>
    <w:uiPriority w:val="99"/>
    <w:rPr>
      <w:rFonts w:ascii="Times New Roman" w:hAnsi="Times New Roman" w:eastAsia="宋体" w:cs="Times New Roman"/>
      <w:kern w:val="2"/>
      <w:sz w:val="18"/>
      <w:szCs w:val="18"/>
    </w:rPr>
  </w:style>
  <w:style w:type="paragraph" w:customStyle="1"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6465</Words>
  <Characters>7034</Characters>
  <Lines>1</Lines>
  <Paragraphs>1</Paragraphs>
  <TotalTime>0</TotalTime>
  <ScaleCrop>false</ScaleCrop>
  <LinksUpToDate>false</LinksUpToDate>
  <CharactersWithSpaces>7427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2018-03-22T02:08:00Z</dcterms:created>
  <dc:creator>0002219</dc:creator>
  <cp:lastModifiedBy>王凯</cp:lastModifiedBy>
  <dcterms:modified xsi:type="dcterms:W3CDTF">2024-09-12T01:36:42Z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B719AEF67E7D4A19BD842B83C4E7B3F4_13</vt:lpwstr>
  </property>
</Properties>
</file>