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89C1">
      <w:pPr>
        <w:widowControl/>
        <w:shd w:val="clear" w:color="auto" w:fill="FFFFFF"/>
        <w:snapToGrid w:val="0"/>
        <w:spacing w:line="360" w:lineRule="auto"/>
        <w:jc w:val="center"/>
        <w:rPr>
          <w:rFonts w:hint="eastAsia" w:ascii="仿宋" w:hAnsi="仿宋" w:eastAsia="仿宋" w:cs="仿宋"/>
          <w:b/>
          <w:bCs/>
          <w:color w:val="auto"/>
          <w:kern w:val="0"/>
          <w:sz w:val="30"/>
          <w:szCs w:val="30"/>
          <w:lang w:val="en-US" w:eastAsia="zh-CN"/>
        </w:rPr>
      </w:pPr>
      <w:bookmarkStart w:id="0" w:name="OLE_LINK2"/>
      <w:r>
        <w:rPr>
          <w:rFonts w:hint="eastAsia" w:ascii="仿宋" w:hAnsi="仿宋" w:eastAsia="仿宋" w:cs="仿宋"/>
          <w:b/>
          <w:bCs/>
          <w:color w:val="auto"/>
          <w:kern w:val="0"/>
          <w:sz w:val="30"/>
          <w:szCs w:val="30"/>
          <w:lang w:val="en-US" w:eastAsia="zh-CN"/>
        </w:rPr>
        <w:t>蒙牛乳业常温银川工厂1L大包项目制冷系统采购</w:t>
      </w:r>
    </w:p>
    <w:bookmarkEnd w:id="0"/>
    <w:p w14:paraId="522B4783">
      <w:pPr>
        <w:widowControl/>
        <w:shd w:val="clear" w:color="auto" w:fill="FFFFFF"/>
        <w:snapToGrid w:val="0"/>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30"/>
          <w:szCs w:val="30"/>
        </w:rPr>
        <w:t>竞争性谈判信息公告</w:t>
      </w:r>
    </w:p>
    <w:p w14:paraId="3D9BD6B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内蒙古华晟工程项目管理有限公司受内蒙古蒙牛乳业（集团）股份有限公司委托，现对</w:t>
      </w:r>
      <w:r>
        <w:rPr>
          <w:rFonts w:hint="eastAsia" w:ascii="仿宋" w:hAnsi="仿宋" w:eastAsia="仿宋" w:cs="仿宋"/>
          <w:color w:val="auto"/>
          <w:sz w:val="24"/>
          <w:lang w:val="en-US" w:eastAsia="zh-CN"/>
        </w:rPr>
        <w:t>蒙牛乳业常温银川工厂1L大包项目制冷系统采购</w:t>
      </w:r>
      <w:r>
        <w:rPr>
          <w:rFonts w:hint="eastAsia" w:ascii="仿宋" w:hAnsi="仿宋" w:eastAsia="仿宋" w:cs="仿宋"/>
          <w:color w:val="auto"/>
          <w:sz w:val="24"/>
        </w:rPr>
        <w:t>进行竞争性谈判, 欢迎符合资格条件的</w:t>
      </w:r>
      <w:r>
        <w:rPr>
          <w:rFonts w:hint="eastAsia" w:ascii="仿宋" w:hAnsi="仿宋" w:eastAsia="仿宋" w:cs="仿宋"/>
          <w:color w:val="auto"/>
          <w:sz w:val="24"/>
          <w:lang w:val="en-US" w:eastAsia="zh-CN"/>
        </w:rPr>
        <w:t>投标</w:t>
      </w:r>
      <w:r>
        <w:rPr>
          <w:rFonts w:hint="eastAsia" w:ascii="仿宋" w:hAnsi="仿宋" w:eastAsia="仿宋" w:cs="仿宋"/>
          <w:color w:val="auto"/>
          <w:sz w:val="24"/>
        </w:rPr>
        <w:t>人参加。</w:t>
      </w:r>
    </w:p>
    <w:p w14:paraId="1DD0616B">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一、项目编号：MNCGJH-20240927-0007</w:t>
      </w:r>
    </w:p>
    <w:p w14:paraId="1BDF0EAC">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二、项目名称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蒙牛乳业常温银川工厂1L大包项目制冷系统采购</w:t>
      </w:r>
    </w:p>
    <w:p w14:paraId="58445EE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三、项目概况：</w:t>
      </w:r>
    </w:p>
    <w:p w14:paraId="7B94A920">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为银川蒙牛乳业二期氨系统改造项目，银川蒙牛因制冷系统采用R717氨做制冷剂。现对二期制冷车间进行升级改造，主要更换4台防爆电机、降低氨储量＜10吨（拆除原1台液氨罐更换小容量储罐及断开不用设备相关管路等工作）。</w:t>
      </w:r>
    </w:p>
    <w:p w14:paraId="6957A91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四、资格要求：</w:t>
      </w:r>
    </w:p>
    <w:p w14:paraId="24E43340">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投标人</w:t>
      </w:r>
      <w:r>
        <w:rPr>
          <w:rFonts w:hint="eastAsia" w:ascii="仿宋" w:hAnsi="仿宋" w:eastAsia="仿宋" w:cs="仿宋"/>
          <w:sz w:val="24"/>
        </w:rPr>
        <w:t>必须是在中华人民共和国境内注册的具有独立法人资格的企业单位；</w:t>
      </w:r>
    </w:p>
    <w:p w14:paraId="24F04028">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投标人</w:t>
      </w:r>
      <w:r>
        <w:rPr>
          <w:rFonts w:hint="eastAsia" w:ascii="仿宋" w:hAnsi="仿宋" w:eastAsia="仿宋" w:cs="仿宋"/>
          <w:sz w:val="24"/>
        </w:rPr>
        <w:t>须具有一般纳税人资格，企业最近1年任意3个月的依法纳税证明材料和社保缴纳证明；</w:t>
      </w:r>
    </w:p>
    <w:p w14:paraId="6515885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投标人</w:t>
      </w:r>
      <w:r>
        <w:rPr>
          <w:rFonts w:hint="eastAsia" w:ascii="仿宋" w:hAnsi="仿宋" w:eastAsia="仿宋" w:cs="仿宋"/>
          <w:sz w:val="24"/>
        </w:rPr>
        <w:t>授权委托人须为本企业在职人员；</w:t>
      </w:r>
    </w:p>
    <w:p w14:paraId="4D165DEF">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投标人必须具有建设行政主管部门颁发的</w:t>
      </w:r>
      <w:r>
        <w:rPr>
          <w:rFonts w:hint="eastAsia" w:ascii="仿宋" w:hAnsi="仿宋" w:eastAsia="仿宋" w:cs="仿宋"/>
          <w:sz w:val="24"/>
          <w:szCs w:val="24"/>
          <w:highlight w:val="none"/>
          <w:lang w:val="en-US" w:eastAsia="zh-CN"/>
        </w:rPr>
        <w:t>机电工程施工总承包乙级资质及以上或建筑机电安装工程专业承包乙级资质及以上</w:t>
      </w:r>
      <w:r>
        <w:rPr>
          <w:rFonts w:hint="eastAsia" w:ascii="仿宋" w:hAnsi="仿宋" w:eastAsia="仿宋" w:cs="仿宋"/>
          <w:sz w:val="24"/>
          <w:lang w:eastAsia="zh-CN"/>
        </w:rPr>
        <w:t>；（以上资质为住建部最新资质要求（2020年11月30日建市〔2020〕94号《住房和城乡建设部关于印发建设工程企业资质管理制度改革方案的通知》）。如投标人还未申办以上资质，投标人须具有建设行政主管部门颁发的</w:t>
      </w:r>
      <w:r>
        <w:rPr>
          <w:rFonts w:hint="eastAsia" w:ascii="仿宋" w:hAnsi="仿宋" w:eastAsia="仿宋" w:cs="仿宋"/>
          <w:sz w:val="24"/>
          <w:szCs w:val="24"/>
          <w:highlight w:val="none"/>
          <w:lang w:val="en-US" w:eastAsia="zh-CN"/>
        </w:rPr>
        <w:t>机电工程施工总承包三级资质及以上或建筑机电安装工程专业承包二级资质及以上</w:t>
      </w:r>
      <w:r>
        <w:rPr>
          <w:rFonts w:hint="eastAsia" w:ascii="仿宋" w:hAnsi="仿宋" w:eastAsia="仿宋" w:cs="仿宋"/>
          <w:sz w:val="24"/>
          <w:lang w:eastAsia="zh-CN"/>
        </w:rPr>
        <w:t>。</w:t>
      </w:r>
    </w:p>
    <w:p w14:paraId="1173B1EA">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投标人须具有有效的安全生产许可证。</w:t>
      </w:r>
    </w:p>
    <w:p w14:paraId="5EA48E72">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）投标人</w:t>
      </w:r>
      <w:r>
        <w:rPr>
          <w:rFonts w:hint="eastAsia" w:ascii="仿宋" w:hAnsi="仿宋" w:eastAsia="仿宋" w:cs="仿宋"/>
          <w:sz w:val="24"/>
        </w:rPr>
        <w:t>须具有2021年1月1日至今至少两份类似项目业绩（以合同为准）；</w:t>
      </w:r>
    </w:p>
    <w:p w14:paraId="2352A84B">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须具有2021至2023年第三方财务审计报告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未被列入国家企业信用信息公示系统（http://www.gsxt.gov.cn/index.html）严重违法失信企业名单；</w:t>
      </w:r>
    </w:p>
    <w:p w14:paraId="79AAA9E7">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在“中华人民共和国应急管理部（https://www.mem.gov.cn/）”近一年内无公开曝光的安全事件；</w:t>
      </w:r>
    </w:p>
    <w:p w14:paraId="73B12903">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w:t>
      </w:r>
      <w:r>
        <w:rPr>
          <w:rFonts w:hint="eastAsia" w:ascii="仿宋" w:hAnsi="仿宋" w:eastAsia="仿宋" w:cs="仿宋"/>
          <w:sz w:val="24"/>
          <w:lang w:eastAsia="zh-CN"/>
        </w:rPr>
        <w:t>投标人</w:t>
      </w:r>
      <w:r>
        <w:rPr>
          <w:rFonts w:hint="eastAsia" w:ascii="仿宋" w:hAnsi="仿宋" w:eastAsia="仿宋" w:cs="仿宋"/>
          <w:sz w:val="24"/>
        </w:rPr>
        <w:t>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3C32A604">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）本次竞谈</w:t>
      </w:r>
      <w:r>
        <w:rPr>
          <w:rFonts w:hint="eastAsia" w:ascii="仿宋" w:hAnsi="仿宋" w:eastAsia="仿宋" w:cs="仿宋"/>
          <w:sz w:val="24"/>
          <w:lang w:val="en-US" w:eastAsia="zh-CN"/>
        </w:rPr>
        <w:t>项目</w:t>
      </w:r>
      <w:r>
        <w:rPr>
          <w:rFonts w:hint="eastAsia" w:ascii="仿宋" w:hAnsi="仿宋" w:eastAsia="仿宋" w:cs="仿宋"/>
          <w:sz w:val="24"/>
        </w:rPr>
        <w:t>不接受多家单位联合报价，不允许分包或转包。</w:t>
      </w:r>
    </w:p>
    <w:p w14:paraId="42209BCD">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）不接受中粮及蒙牛供应商黑名单（以蒙牛集团采购招标管理部下发的黑名单为准）的企业参与竞争；</w:t>
      </w:r>
    </w:p>
    <w:p w14:paraId="063C1C85">
      <w:pPr>
        <w:wordWrap w:val="0"/>
        <w:topLinePunct/>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须执行蒙牛集团《承包商安全管理制度》管理要求。</w:t>
      </w:r>
    </w:p>
    <w:p w14:paraId="6AF6220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五、报名须知</w:t>
      </w:r>
    </w:p>
    <w:p w14:paraId="0CCDC7A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潜在投标人依据资格要求自主评估，符合条件的进行网上报名及资格验证，蒙牛集团电子采购招标平台网址：</w:t>
      </w:r>
      <w:r>
        <w:rPr>
          <w:rFonts w:hint="eastAsia" w:ascii="仿宋" w:hAnsi="仿宋" w:eastAsia="仿宋" w:cs="仿宋"/>
          <w:b/>
          <w:color w:val="auto"/>
          <w:sz w:val="24"/>
        </w:rPr>
        <w:fldChar w:fldCharType="begin"/>
      </w:r>
      <w:r>
        <w:rPr>
          <w:rFonts w:hint="eastAsia" w:ascii="仿宋" w:hAnsi="仿宋" w:eastAsia="仿宋" w:cs="仿宋"/>
          <w:b/>
          <w:color w:val="auto"/>
          <w:sz w:val="24"/>
        </w:rPr>
        <w:instrText xml:space="preserve"> HYPERLINK "https://zbcg.mengniu.cn/" \l "/home" \t "_blank" </w:instrText>
      </w:r>
      <w:r>
        <w:rPr>
          <w:rFonts w:hint="eastAsia" w:ascii="仿宋" w:hAnsi="仿宋" w:eastAsia="仿宋" w:cs="仿宋"/>
          <w:b/>
          <w:color w:val="auto"/>
          <w:sz w:val="24"/>
        </w:rPr>
        <w:fldChar w:fldCharType="separate"/>
      </w:r>
      <w:r>
        <w:rPr>
          <w:rFonts w:hint="eastAsia" w:ascii="仿宋" w:hAnsi="仿宋" w:eastAsia="仿宋" w:cs="仿宋"/>
          <w:b/>
          <w:color w:val="auto"/>
          <w:sz w:val="24"/>
        </w:rPr>
        <w:t>https://zbcg.mengniu.cn/#/home</w:t>
      </w:r>
      <w:r>
        <w:rPr>
          <w:rFonts w:hint="eastAsia" w:ascii="仿宋" w:hAnsi="仿宋" w:eastAsia="仿宋" w:cs="仿宋"/>
          <w:b/>
          <w:color w:val="auto"/>
          <w:sz w:val="24"/>
        </w:rPr>
        <w:fldChar w:fldCharType="end"/>
      </w:r>
      <w:r>
        <w:rPr>
          <w:rFonts w:hint="eastAsia" w:ascii="仿宋" w:hAnsi="仿宋" w:eastAsia="仿宋" w:cs="仿宋"/>
          <w:b/>
          <w:color w:val="auto"/>
          <w:sz w:val="24"/>
        </w:rPr>
        <w:t xml:space="preserve"> </w:t>
      </w:r>
    </w:p>
    <w:p w14:paraId="003EF0B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请先阅读服务手册，平台服务支持电话为4008108111。</w:t>
      </w:r>
    </w:p>
    <w:p w14:paraId="039BC80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1、报名资格文件按照如下要求提供：</w:t>
      </w:r>
    </w:p>
    <w:p w14:paraId="1A26E2C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有效的营业执照，有效的开户行许可证/基本存款；</w:t>
      </w:r>
    </w:p>
    <w:p w14:paraId="5BDA67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法定代表人证明书或授权委托书原件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附件1</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7874073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备注：法定代表人须上传法人证明材料及身份证原件扫描件，若为被授权人须上传一份法人授权委托书和身份证原件扫描件及授权委托人近一年内在本单位的社保证明材料。</w:t>
      </w:r>
    </w:p>
    <w:p w14:paraId="4F8DDBD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一般纳税人资格证明材料，企业最近1年任意3个月的依法纳税证明材料和社保缴纳证明材料；</w:t>
      </w:r>
    </w:p>
    <w:p w14:paraId="319BB21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（4）提供</w:t>
      </w:r>
      <w:r>
        <w:rPr>
          <w:rFonts w:hint="eastAsia" w:ascii="仿宋" w:hAnsi="仿宋" w:eastAsia="仿宋" w:cs="仿宋"/>
          <w:sz w:val="24"/>
          <w:lang w:eastAsia="zh-CN"/>
        </w:rPr>
        <w:t>建设行政主管部门颁发的</w:t>
      </w:r>
      <w:r>
        <w:rPr>
          <w:rFonts w:hint="eastAsia" w:ascii="仿宋" w:hAnsi="仿宋" w:eastAsia="仿宋" w:cs="仿宋"/>
          <w:sz w:val="24"/>
          <w:szCs w:val="24"/>
          <w:highlight w:val="none"/>
          <w:lang w:val="en-US" w:eastAsia="zh-CN"/>
        </w:rPr>
        <w:t>机电工程施工总承包乙级资质及以上或建筑机电安装工程专业承包乙级资质及以上</w:t>
      </w:r>
      <w:r>
        <w:rPr>
          <w:rFonts w:hint="eastAsia" w:ascii="仿宋" w:hAnsi="仿宋" w:eastAsia="仿宋" w:cs="仿宋"/>
          <w:sz w:val="24"/>
          <w:lang w:eastAsia="zh-CN"/>
        </w:rPr>
        <w:t>；（以上资质为住建部最新资质要求（2020年11月30日建市〔2020〕94号《住房和城乡建设部关于印发建设工程企业资质管理制度改革方案的通知》）。如投标人还未申办以上资质，投标人须具有建设行政主管部门颁发的</w:t>
      </w:r>
      <w:r>
        <w:rPr>
          <w:rFonts w:hint="eastAsia" w:ascii="仿宋" w:hAnsi="仿宋" w:eastAsia="仿宋" w:cs="仿宋"/>
          <w:sz w:val="24"/>
          <w:szCs w:val="24"/>
          <w:highlight w:val="none"/>
          <w:lang w:val="en-US" w:eastAsia="zh-CN"/>
        </w:rPr>
        <w:t>机电工程施工总承包三</w:t>
      </w:r>
      <w:bookmarkStart w:id="3" w:name="_GoBack"/>
      <w:bookmarkEnd w:id="3"/>
      <w:r>
        <w:rPr>
          <w:rFonts w:hint="eastAsia" w:ascii="仿宋" w:hAnsi="仿宋" w:eastAsia="仿宋" w:cs="仿宋"/>
          <w:sz w:val="24"/>
          <w:szCs w:val="24"/>
          <w:highlight w:val="none"/>
          <w:lang w:val="en-US" w:eastAsia="zh-CN"/>
        </w:rPr>
        <w:t>级资质及以上或建筑机电安装工程专业承包二级资质及以上</w:t>
      </w:r>
      <w:r>
        <w:rPr>
          <w:rFonts w:hint="eastAsia" w:ascii="仿宋" w:hAnsi="仿宋" w:eastAsia="仿宋" w:cs="仿宋"/>
          <w:color w:val="auto"/>
          <w:sz w:val="24"/>
        </w:rPr>
        <w:t>；</w:t>
      </w:r>
    </w:p>
    <w:p w14:paraId="243045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提供</w:t>
      </w:r>
      <w:r>
        <w:rPr>
          <w:rFonts w:hint="eastAsia" w:ascii="仿宋" w:hAnsi="仿宋" w:eastAsia="仿宋" w:cs="仿宋"/>
          <w:sz w:val="24"/>
          <w:lang w:eastAsia="zh-CN"/>
        </w:rPr>
        <w:t>有效的安全生产许可证；</w:t>
      </w:r>
    </w:p>
    <w:p w14:paraId="4764A3EB">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2021年1月1日至今至少</w:t>
      </w:r>
      <w:r>
        <w:rPr>
          <w:rFonts w:hint="eastAsia" w:ascii="仿宋" w:hAnsi="仿宋" w:eastAsia="仿宋" w:cs="仿宋"/>
          <w:color w:val="auto"/>
          <w:sz w:val="24"/>
          <w:lang w:val="en-US" w:eastAsia="zh-CN"/>
        </w:rPr>
        <w:t>两份类似</w:t>
      </w:r>
      <w:r>
        <w:rPr>
          <w:rFonts w:hint="eastAsia" w:ascii="仿宋" w:hAnsi="仿宋" w:eastAsia="仿宋" w:cs="仿宋"/>
          <w:color w:val="auto"/>
          <w:sz w:val="24"/>
        </w:rPr>
        <w:t>项目业绩（以合同为准）</w:t>
      </w:r>
      <w:r>
        <w:rPr>
          <w:rFonts w:hint="eastAsia" w:ascii="仿宋" w:hAnsi="仿宋" w:eastAsia="仿宋" w:cs="仿宋"/>
          <w:color w:val="auto"/>
          <w:sz w:val="24"/>
          <w:lang w:eastAsia="zh-CN"/>
        </w:rPr>
        <w:t>；</w:t>
      </w:r>
    </w:p>
    <w:p w14:paraId="45E8F6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近三年（2021至2023年）经过第三方专业审计机构出具的财务审计报告</w:t>
      </w:r>
      <w:r>
        <w:rPr>
          <w:rFonts w:hint="eastAsia" w:ascii="仿宋" w:hAnsi="仿宋" w:eastAsia="仿宋" w:cs="仿宋"/>
          <w:color w:val="auto"/>
          <w:sz w:val="24"/>
          <w:lang w:val="en-US" w:eastAsia="zh-CN"/>
        </w:rPr>
        <w:t>或财务报表</w:t>
      </w:r>
      <w:r>
        <w:rPr>
          <w:rFonts w:hint="eastAsia" w:ascii="仿宋" w:hAnsi="仿宋" w:eastAsia="仿宋" w:cs="仿宋"/>
          <w:color w:val="auto"/>
          <w:sz w:val="24"/>
        </w:rPr>
        <w:t>；</w:t>
      </w:r>
    </w:p>
    <w:p w14:paraId="417EF18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未被列入国家企业信用信息公示系统（</w:t>
      </w:r>
      <w:r>
        <w:rPr>
          <w:color w:val="auto"/>
        </w:rPr>
        <w:fldChar w:fldCharType="begin"/>
      </w:r>
      <w:r>
        <w:rPr>
          <w:color w:val="auto"/>
        </w:rPr>
        <w:instrText xml:space="preserve"> HYPERLINK "http://www.gsxt.gov.cn/index.html%EF%BC%89%E4%B8%A5%E9%87%8D%E8%BF%9D%E6%B3%95%E5%A4%B1%E4%BF%A1%E4%BC%81%E4%B8%9A%E5%90%8D%E5%8D%95" \t "_blank" </w:instrText>
      </w:r>
      <w:r>
        <w:rPr>
          <w:color w:val="auto"/>
        </w:rPr>
        <w:fldChar w:fldCharType="separate"/>
      </w:r>
      <w:r>
        <w:rPr>
          <w:rFonts w:hint="eastAsia" w:ascii="仿宋" w:hAnsi="仿宋" w:eastAsia="仿宋" w:cs="仿宋"/>
          <w:color w:val="auto"/>
          <w:sz w:val="24"/>
        </w:rPr>
        <w:t>http://www.gsxt.gov.cn/index.html）严重违法失信企业名单</w:t>
      </w:r>
      <w:r>
        <w:rPr>
          <w:rFonts w:hint="eastAsia" w:ascii="仿宋" w:hAnsi="仿宋" w:eastAsia="仿宋" w:cs="仿宋"/>
          <w:color w:val="auto"/>
          <w:sz w:val="24"/>
        </w:rPr>
        <w:fldChar w:fldCharType="end"/>
      </w:r>
      <w:r>
        <w:rPr>
          <w:rFonts w:hint="eastAsia" w:ascii="仿宋" w:hAnsi="仿宋" w:eastAsia="仿宋" w:cs="仿宋"/>
          <w:color w:val="auto"/>
          <w:sz w:val="24"/>
        </w:rPr>
        <w:t>证明材料。</w:t>
      </w:r>
    </w:p>
    <w:p w14:paraId="7382FF7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）提供</w:t>
      </w:r>
      <w:r>
        <w:rPr>
          <w:rFonts w:hint="eastAsia" w:ascii="仿宋" w:hAnsi="仿宋" w:eastAsia="仿宋" w:cs="仿宋"/>
          <w:color w:val="auto"/>
          <w:sz w:val="24"/>
          <w:lang w:val="en-US" w:eastAsia="zh-CN"/>
        </w:rPr>
        <w:t>本企业</w:t>
      </w:r>
      <w:r>
        <w:rPr>
          <w:rFonts w:hint="eastAsia" w:ascii="仿宋" w:hAnsi="仿宋" w:eastAsia="仿宋" w:cs="仿宋"/>
          <w:color w:val="auto"/>
          <w:sz w:val="24"/>
        </w:rPr>
        <w:t>“中华人民共和国应急管理部（https://www.mem.gov.cn/）”近一年内无公开曝光的安全事件证明材料；</w:t>
      </w:r>
    </w:p>
    <w:p w14:paraId="47600A82">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）提供保密承诺书（附件</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p>
    <w:p w14:paraId="45819625">
      <w:pPr>
        <w:pStyle w:val="19"/>
        <w:wordWrap w:val="0"/>
        <w:spacing w:line="360" w:lineRule="auto"/>
        <w:ind w:firstLine="480" w:firstLineChars="200"/>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1</w:t>
      </w:r>
      <w:r>
        <w:rPr>
          <w:rFonts w:hint="eastAsia" w:ascii="仿宋" w:hAnsi="仿宋" w:eastAsia="仿宋" w:cs="仿宋"/>
          <w:color w:val="auto"/>
        </w:rPr>
        <w:t>）提供</w:t>
      </w:r>
      <w:r>
        <w:rPr>
          <w:rFonts w:hint="eastAsia" w:ascii="仿宋" w:hAnsi="仿宋" w:eastAsia="仿宋" w:cs="仿宋"/>
          <w:color w:val="auto"/>
          <w:sz w:val="24"/>
          <w:lang w:val="en-US" w:eastAsia="zh-CN"/>
        </w:rPr>
        <w:t>本企业</w:t>
      </w:r>
      <w:r>
        <w:rPr>
          <w:rFonts w:hint="eastAsia" w:ascii="仿宋" w:hAnsi="仿宋" w:eastAsia="仿宋" w:cs="仿宋"/>
          <w:color w:val="auto"/>
        </w:rPr>
        <w:t>承诺遵守蒙牛集团《承包商安全管理制度》的承诺书。</w:t>
      </w:r>
    </w:p>
    <w:p w14:paraId="4ABF4ADE">
      <w:pPr>
        <w:wordWrap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12</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提供本企业无联合体竞谈，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声明（附件3）</w:t>
      </w:r>
    </w:p>
    <w:p w14:paraId="78568C08">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本项目采用全流程电子化招标采购方式，以上各类证书、证明材料应为原件的扫描件或复印件加盖公章，并于报名截止时间前在</w:t>
      </w:r>
      <w:bookmarkStart w:id="1" w:name="_Toc122871895"/>
      <w:r>
        <w:rPr>
          <w:rFonts w:hint="eastAsia" w:ascii="仿宋" w:hAnsi="仿宋" w:eastAsia="仿宋" w:cs="仿宋"/>
          <w:color w:val="auto"/>
          <w:sz w:val="24"/>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 ）”</w:t>
      </w:r>
      <w:bookmarkEnd w:id="1"/>
      <w:r>
        <w:rPr>
          <w:rFonts w:hint="eastAsia" w:ascii="仿宋" w:hAnsi="仿宋" w:eastAsia="仿宋" w:cs="仿宋"/>
          <w:color w:val="auto"/>
          <w:sz w:val="24"/>
        </w:rPr>
        <w:t>进行线上提交，进行资格审查（过期提交不予受理），审查合格后方可购买招标文件（仅作为发放招标文件的依据）。</w:t>
      </w:r>
    </w:p>
    <w:p w14:paraId="76EBFD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资料提供不全或模糊不清或未按时间要求提报的将被拒绝接收，所提供的资质、业绩文件中如有虚假情况，一经发现将被取消竞谈资格。</w:t>
      </w:r>
    </w:p>
    <w:p w14:paraId="10FAB55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竞谈人自购买谈判文件之日起，应确保其向采购人或招标代理机构提供的通讯手段（电话、邮箱）一直有效，以保证往来函件能及时传达并及时反馈信息，否则由此引起的一切后果由竞谈人承担。</w:t>
      </w:r>
    </w:p>
    <w:p w14:paraId="265DCD1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2、报名方式：</w:t>
      </w:r>
    </w:p>
    <w:p w14:paraId="5DCF870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9E360EB">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六、项目时间安排及要求：</w:t>
      </w:r>
    </w:p>
    <w:p w14:paraId="79BB286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1、报名时间：</w:t>
      </w:r>
      <w:r>
        <w:rPr>
          <w:rFonts w:hint="eastAsia" w:ascii="仿宋" w:hAnsi="仿宋" w:eastAsia="仿宋" w:cs="仿宋"/>
          <w:color w:val="auto"/>
          <w:sz w:val="24"/>
          <w:lang w:val="en-US" w:eastAsia="zh-CN"/>
        </w:rPr>
        <w:t>2024年9月30日10时至10月10日24时</w:t>
      </w:r>
      <w:r>
        <w:rPr>
          <w:rFonts w:hint="eastAsia" w:ascii="仿宋" w:hAnsi="仿宋" w:eastAsia="仿宋" w:cs="仿宋"/>
          <w:color w:val="auto"/>
          <w:sz w:val="24"/>
        </w:rPr>
        <w:t>；</w:t>
      </w:r>
    </w:p>
    <w:p w14:paraId="51C17F2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2、资格预审时间：</w:t>
      </w:r>
      <w:r>
        <w:rPr>
          <w:rFonts w:hint="eastAsia" w:ascii="仿宋" w:hAnsi="仿宋" w:eastAsia="仿宋" w:cs="仿宋"/>
          <w:color w:val="auto"/>
          <w:sz w:val="24"/>
          <w:lang w:val="en-US" w:eastAsia="zh-CN"/>
        </w:rPr>
        <w:t>2024年10月11日10时至10月12日17时</w:t>
      </w:r>
      <w:r>
        <w:rPr>
          <w:rFonts w:hint="eastAsia" w:ascii="仿宋" w:hAnsi="仿宋" w:eastAsia="仿宋" w:cs="仿宋"/>
          <w:color w:val="auto"/>
          <w:sz w:val="24"/>
        </w:rPr>
        <w:t>；</w:t>
      </w:r>
    </w:p>
    <w:p w14:paraId="10FB4B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3、谈判文件发售时间：</w:t>
      </w:r>
      <w:r>
        <w:rPr>
          <w:rFonts w:hint="eastAsia" w:ascii="仿宋" w:hAnsi="仿宋" w:eastAsia="仿宋" w:cs="仿宋"/>
          <w:color w:val="auto"/>
          <w:sz w:val="24"/>
          <w:lang w:val="en-US" w:eastAsia="zh-CN"/>
        </w:rPr>
        <w:t>2024年10月13日0时至10月16日24时</w:t>
      </w:r>
      <w:r>
        <w:rPr>
          <w:rFonts w:hint="eastAsia" w:ascii="仿宋" w:hAnsi="仿宋" w:eastAsia="仿宋" w:cs="仿宋"/>
          <w:color w:val="auto"/>
          <w:sz w:val="24"/>
        </w:rPr>
        <w:t>；</w:t>
      </w:r>
    </w:p>
    <w:p w14:paraId="01D9BF0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4、谈判文件每套售价：人民币</w:t>
      </w:r>
      <w:r>
        <w:rPr>
          <w:rFonts w:hint="eastAsia" w:ascii="仿宋" w:hAnsi="仿宋" w:eastAsia="仿宋" w:cs="仿宋"/>
          <w:color w:val="auto"/>
          <w:sz w:val="24"/>
          <w:lang w:val="en-US" w:eastAsia="zh-CN"/>
        </w:rPr>
        <w:t>200</w:t>
      </w:r>
      <w:r>
        <w:rPr>
          <w:rFonts w:hint="eastAsia" w:ascii="仿宋" w:hAnsi="仿宋" w:eastAsia="仿宋" w:cs="仿宋"/>
          <w:color w:val="auto"/>
          <w:sz w:val="24"/>
        </w:rPr>
        <w:t>元，售后不退（汇款后将回执扫描后上传至蒙牛集团电子采购招标平台）；</w:t>
      </w:r>
    </w:p>
    <w:p w14:paraId="7A17F2C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具体打款信息如下：</w:t>
      </w:r>
    </w:p>
    <w:p w14:paraId="0D3375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开户银行：兴业银行有限公司呼和浩特巨海城支行</w:t>
      </w:r>
    </w:p>
    <w:p w14:paraId="49165BB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收款单位：内蒙古华晟工程项目管理有限公司呼和浩特一分公司</w:t>
      </w:r>
    </w:p>
    <w:p w14:paraId="7A97AE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开户银行账号：592120100100101521</w:t>
      </w:r>
    </w:p>
    <w:p w14:paraId="58E7D9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开户银行行号：J1910033908301</w:t>
      </w:r>
    </w:p>
    <w:p w14:paraId="61B1E9B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5、开标时间：2024年</w:t>
      </w:r>
      <w:r>
        <w:rPr>
          <w:rFonts w:hint="eastAsia" w:ascii="仿宋" w:hAnsi="仿宋" w:eastAsia="仿宋" w:cs="仿宋"/>
          <w:color w:val="auto"/>
          <w:sz w:val="24"/>
          <w:lang w:val="en-US" w:eastAsia="zh-CN"/>
        </w:rPr>
        <w:t>10</w:t>
      </w:r>
      <w:r>
        <w:rPr>
          <w:rFonts w:hint="eastAsia" w:ascii="仿宋" w:hAnsi="仿宋" w:eastAsia="仿宋" w:cs="仿宋"/>
          <w:color w:val="auto"/>
          <w:sz w:val="24"/>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rPr>
        <w:t>日9时30分（以发出的谈判文件为准）；</w:t>
      </w:r>
    </w:p>
    <w:p w14:paraId="3CAB2A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七、开标地址：</w:t>
      </w:r>
      <w:r>
        <w:rPr>
          <w:rFonts w:hint="eastAsia" w:ascii="仿宋" w:hAnsi="仿宋" w:eastAsia="仿宋" w:cs="仿宋"/>
          <w:color w:val="auto"/>
          <w:sz w:val="24"/>
        </w:rPr>
        <w:t>蒙牛集团电子采购招标平台（https://zbcg.mengniu.cn/）</w:t>
      </w:r>
    </w:p>
    <w:p w14:paraId="78FD6D6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八、发布媒体：</w:t>
      </w:r>
    </w:p>
    <w:p w14:paraId="0337DFC6">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蒙牛官网（http://www.mengniu.com.cn）及蒙牛内部平台</w:t>
      </w:r>
    </w:p>
    <w:p w14:paraId="77977DD4">
      <w:pPr>
        <w:shd w:val="clear" w:color="auto" w:fill="FFFFFF"/>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中国采购与招标网大数据平台（</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"https://www.chinabidding.cn/"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https://www.chinabidding.cn/</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5963CF1F">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蒙牛集团电子招标采购交易平台（</w:t>
      </w:r>
      <w:r>
        <w:rPr>
          <w:color w:val="auto"/>
        </w:rPr>
        <w:fldChar w:fldCharType="begin"/>
      </w:r>
      <w:r>
        <w:rPr>
          <w:color w:val="auto"/>
        </w:rPr>
        <w:instrText xml:space="preserve"> HYPERLINK "https://……）" </w:instrText>
      </w:r>
      <w:r>
        <w:rPr>
          <w:color w:val="auto"/>
        </w:rPr>
        <w:fldChar w:fldCharType="separate"/>
      </w:r>
      <w:r>
        <w:rPr>
          <w:rFonts w:hint="eastAsia" w:ascii="仿宋" w:hAnsi="仿宋" w:eastAsia="仿宋" w:cs="仿宋"/>
          <w:color w:val="auto"/>
          <w:sz w:val="24"/>
        </w:rPr>
        <w:t>https://zbcg.mengniu.cn）</w:t>
      </w:r>
      <w:r>
        <w:rPr>
          <w:rFonts w:hint="eastAsia" w:ascii="仿宋" w:hAnsi="仿宋" w:eastAsia="仿宋" w:cs="仿宋"/>
          <w:color w:val="auto"/>
          <w:sz w:val="24"/>
        </w:rPr>
        <w:fldChar w:fldCharType="end"/>
      </w:r>
    </w:p>
    <w:p w14:paraId="0836C0E5">
      <w:pPr>
        <w:shd w:val="clear" w:color="auto" w:fill="FFFFFF"/>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此公告只在以上平台发布，其他任何媒体转载无效。</w:t>
      </w:r>
    </w:p>
    <w:p w14:paraId="5A1B8E25">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九、采购招标实施方及联系方式：</w:t>
      </w:r>
    </w:p>
    <w:p w14:paraId="7A4F359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采购方：内蒙古蒙牛乳业（集团）股份有限公司</w:t>
      </w:r>
    </w:p>
    <w:p w14:paraId="2F3BAA04">
      <w:pPr>
        <w:pStyle w:val="12"/>
        <w:widowControl/>
        <w:spacing w:beforeAutospacing="0" w:afterAutospacing="0" w:line="360" w:lineRule="auto"/>
        <w:ind w:firstLine="480"/>
        <w:rPr>
          <w:color w:val="auto"/>
        </w:rPr>
      </w:pPr>
      <w:r>
        <w:rPr>
          <w:rFonts w:ascii="仿宋" w:hAnsi="仿宋" w:eastAsia="仿宋" w:cs="仿宋"/>
          <w:color w:val="auto"/>
        </w:rPr>
        <w:t>业务咨询联系人：张嘉馨                  </w:t>
      </w:r>
    </w:p>
    <w:p w14:paraId="4066ECCB">
      <w:pPr>
        <w:pStyle w:val="12"/>
        <w:widowControl/>
        <w:spacing w:beforeAutospacing="0" w:afterAutospacing="0" w:line="360" w:lineRule="auto"/>
        <w:ind w:firstLine="480"/>
        <w:rPr>
          <w:color w:val="auto"/>
        </w:rPr>
      </w:pPr>
      <w:r>
        <w:rPr>
          <w:rFonts w:hint="eastAsia" w:ascii="仿宋" w:hAnsi="仿宋" w:eastAsia="仿宋" w:cs="仿宋"/>
          <w:color w:val="auto"/>
        </w:rPr>
        <w:t>联系方式：15148996062</w:t>
      </w:r>
    </w:p>
    <w:p w14:paraId="4D55A2D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1658401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联系地址：内蒙古呼和浩特市赛罕区锡林南路盈嘉国际综合楼27层</w:t>
      </w:r>
    </w:p>
    <w:p w14:paraId="61F250B9">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十一、监督单位及联系方式：</w:t>
      </w:r>
    </w:p>
    <w:p w14:paraId="390ED113">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1、采购招标项目违规问题的投诉受理单位：蒙牛乳业采购招标管理部</w:t>
      </w:r>
    </w:p>
    <w:p w14:paraId="1B6D6301">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薛海燕</w:t>
      </w:r>
    </w:p>
    <w:p w14:paraId="700FB0FD">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联系电话：0471-7393642/15034952008</w:t>
      </w:r>
    </w:p>
    <w:p w14:paraId="46AFB0E2">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电子邮件：xuehaiyan@mengniu.cn</w:t>
      </w:r>
    </w:p>
    <w:p w14:paraId="3453A304">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异议/投诉服务网址：</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"https://zbcg.mengniu.cn/" \l "/home" \t "_blank"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https://zbcg.mengniu.cn/#/home</w:t>
      </w:r>
      <w:r>
        <w:rPr>
          <w:rFonts w:hint="eastAsia" w:ascii="仿宋" w:hAnsi="仿宋" w:eastAsia="仿宋" w:cs="仿宋"/>
          <w:color w:val="auto"/>
          <w:sz w:val="24"/>
        </w:rPr>
        <w:fldChar w:fldCharType="end"/>
      </w:r>
    </w:p>
    <w:p w14:paraId="7DFCBFDF">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2、采购招标项目的违纪问题举报受理单位：蒙牛乳业纪委办公室</w:t>
      </w:r>
    </w:p>
    <w:p w14:paraId="7C65EF1B">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监 督 人</w:t>
      </w:r>
      <w:r>
        <w:rPr>
          <w:rFonts w:hint="eastAsia" w:ascii="仿宋" w:hAnsi="仿宋" w:eastAsia="仿宋" w:cs="仿宋"/>
          <w:color w:val="auto"/>
          <w:sz w:val="24"/>
          <w:lang w:eastAsia="zh-CN"/>
        </w:rPr>
        <w:t>：</w:t>
      </w:r>
      <w:r>
        <w:rPr>
          <w:rFonts w:hint="eastAsia" w:ascii="仿宋" w:hAnsi="仿宋" w:eastAsia="仿宋" w:cs="仿宋"/>
          <w:color w:val="auto"/>
          <w:sz w:val="24"/>
        </w:rPr>
        <w:t>张丽娜</w:t>
      </w:r>
    </w:p>
    <w:p w14:paraId="3235B805">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联系电话：0471-7393612</w:t>
      </w:r>
    </w:p>
    <w:p w14:paraId="7C357C00">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受理范围：采购招标</w:t>
      </w:r>
      <w:bookmarkStart w:id="2" w:name="OLE_LINK1"/>
      <w:r>
        <w:rPr>
          <w:rFonts w:hint="eastAsia" w:ascii="仿宋" w:hAnsi="仿宋" w:eastAsia="仿宋" w:cs="仿宋"/>
          <w:color w:val="auto"/>
          <w:sz w:val="24"/>
        </w:rPr>
        <w:t>执行过程中涉嫌</w:t>
      </w:r>
      <w:bookmarkEnd w:id="2"/>
      <w:r>
        <w:rPr>
          <w:rFonts w:hint="eastAsia" w:ascii="仿宋" w:hAnsi="仿宋" w:eastAsia="仿宋" w:cs="仿宋"/>
          <w:color w:val="auto"/>
          <w:sz w:val="24"/>
        </w:rPr>
        <w:t>贪污贿赂、滥用职权、玩忽职守、权力寻租、利益输送、徇私舞弊以及浪费公司资财等违纪问题的各类举报。</w:t>
      </w:r>
    </w:p>
    <w:p w14:paraId="04A4A218">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附件：1.法人证明、授权人证明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5E461D61">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2.保密承诺书</w:t>
      </w:r>
    </w:p>
    <w:p w14:paraId="11C00BAB">
      <w:pPr>
        <w:spacing w:line="360" w:lineRule="auto"/>
        <w:ind w:firstLine="720" w:firstLineChars="3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14:paraId="3B98829F">
      <w:pPr>
        <w:pStyle w:val="23"/>
        <w:tabs>
          <w:tab w:val="left" w:pos="993"/>
          <w:tab w:val="left" w:pos="1134"/>
        </w:tabs>
        <w:spacing w:line="360" w:lineRule="auto"/>
        <w:ind w:firstLine="480"/>
        <w:jc w:val="right"/>
        <w:rPr>
          <w:rFonts w:ascii="仿宋" w:hAnsi="仿宋" w:eastAsia="仿宋" w:cs="仿宋"/>
          <w:color w:val="auto"/>
          <w:sz w:val="24"/>
        </w:rPr>
      </w:pPr>
    </w:p>
    <w:p w14:paraId="0C64E7C4">
      <w:pPr>
        <w:pStyle w:val="23"/>
        <w:tabs>
          <w:tab w:val="left" w:pos="993"/>
          <w:tab w:val="left" w:pos="1134"/>
        </w:tabs>
        <w:spacing w:line="360" w:lineRule="auto"/>
        <w:ind w:firstLine="480"/>
        <w:jc w:val="right"/>
        <w:rPr>
          <w:rFonts w:hint="eastAsia" w:ascii="仿宋" w:hAnsi="仿宋" w:eastAsia="仿宋" w:cs="仿宋"/>
          <w:color w:val="auto"/>
          <w:sz w:val="24"/>
        </w:rPr>
      </w:pPr>
      <w:r>
        <w:rPr>
          <w:rFonts w:hint="eastAsia" w:ascii="仿宋" w:hAnsi="仿宋" w:eastAsia="仿宋" w:cs="仿宋"/>
          <w:color w:val="auto"/>
          <w:sz w:val="24"/>
        </w:rPr>
        <w:t>内蒙古蒙牛乳业（集团）股份有限公司</w:t>
      </w:r>
    </w:p>
    <w:p w14:paraId="54C3DE79">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内蒙古华晟工程项目管理有限公司</w:t>
      </w:r>
    </w:p>
    <w:p w14:paraId="73BBB14E">
      <w:pPr>
        <w:pStyle w:val="23"/>
        <w:tabs>
          <w:tab w:val="left" w:pos="993"/>
          <w:tab w:val="left" w:pos="1134"/>
        </w:tabs>
        <w:spacing w:line="360" w:lineRule="auto"/>
        <w:ind w:firstLine="480"/>
        <w:jc w:val="right"/>
        <w:rPr>
          <w:rFonts w:ascii="仿宋" w:hAnsi="仿宋" w:eastAsia="仿宋" w:cs="仿宋"/>
          <w:color w:val="auto"/>
          <w:sz w:val="24"/>
        </w:rPr>
      </w:pPr>
      <w:r>
        <w:rPr>
          <w:rFonts w:hint="eastAsia" w:ascii="仿宋" w:hAnsi="仿宋" w:eastAsia="仿宋" w:cs="仿宋"/>
          <w:color w:val="auto"/>
          <w:sz w:val="24"/>
        </w:rPr>
        <w:t>2024年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30</w:t>
      </w:r>
      <w:r>
        <w:rPr>
          <w:rFonts w:hint="eastAsia" w:ascii="仿宋" w:hAnsi="仿宋" w:eastAsia="仿宋" w:cs="仿宋"/>
          <w:color w:val="auto"/>
          <w:sz w:val="24"/>
        </w:rPr>
        <w:t>日</w:t>
      </w:r>
    </w:p>
    <w:p w14:paraId="141D57F8">
      <w:pPr>
        <w:rPr>
          <w:rFonts w:ascii="仿宋" w:hAnsi="仿宋" w:eastAsia="仿宋" w:cs="仿宋"/>
          <w:color w:val="auto"/>
          <w:sz w:val="24"/>
        </w:rPr>
      </w:pPr>
      <w:r>
        <w:rPr>
          <w:rFonts w:hint="eastAsia" w:ascii="仿宋" w:hAnsi="仿宋" w:eastAsia="仿宋" w:cs="仿宋"/>
          <w:color w:val="auto"/>
          <w:sz w:val="24"/>
        </w:rPr>
        <w:br w:type="page"/>
      </w:r>
    </w:p>
    <w:p w14:paraId="1A3ECF1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14:paraId="0CB39F0F">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法定代表人身份证明</w:t>
      </w:r>
    </w:p>
    <w:p w14:paraId="721B467C">
      <w:pPr>
        <w:spacing w:line="360" w:lineRule="auto"/>
        <w:jc w:val="center"/>
        <w:rPr>
          <w:rFonts w:hint="eastAsia" w:ascii="仿宋" w:hAnsi="仿宋" w:eastAsia="仿宋" w:cs="仿宋"/>
          <w:b/>
          <w:color w:val="auto"/>
          <w:sz w:val="24"/>
          <w:szCs w:val="24"/>
        </w:rPr>
      </w:pPr>
    </w:p>
    <w:p w14:paraId="2EFD21D4">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p>
    <w:p w14:paraId="7DF5F4E9">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76A3FEB3">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45F07070">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A49366A">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7A62E912">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系  </w:t>
      </w:r>
      <w:r>
        <w:rPr>
          <w:rFonts w:hint="eastAsia" w:ascii="仿宋" w:hAnsi="仿宋" w:eastAsia="仿宋" w:cs="仿宋"/>
          <w:color w:val="auto"/>
          <w:sz w:val="24"/>
          <w:szCs w:val="24"/>
          <w:u w:val="single"/>
          <w:lang w:val="en-US" w:eastAsia="zh-CN"/>
        </w:rPr>
        <w:t>投标 人</w:t>
      </w:r>
      <w:r>
        <w:rPr>
          <w:rFonts w:hint="eastAsia" w:ascii="仿宋" w:hAnsi="仿宋" w:eastAsia="仿宋" w:cs="仿宋"/>
          <w:color w:val="auto"/>
          <w:sz w:val="24"/>
          <w:szCs w:val="24"/>
          <w:u w:val="single"/>
        </w:rPr>
        <w:t xml:space="preserve"> 全 称</w:t>
      </w:r>
      <w:r>
        <w:rPr>
          <w:rFonts w:hint="eastAsia" w:ascii="仿宋" w:hAnsi="仿宋" w:eastAsia="仿宋" w:cs="仿宋"/>
          <w:color w:val="auto"/>
          <w:sz w:val="24"/>
          <w:szCs w:val="24"/>
        </w:rPr>
        <w:t>的法定代表人。</w:t>
      </w:r>
    </w:p>
    <w:p w14:paraId="6484CC6D">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E0B719A">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竞谈人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14:paraId="68B85B0B">
      <w:pPr>
        <w:spacing w:line="360" w:lineRule="auto"/>
        <w:ind w:right="1556" w:rightChars="741"/>
        <w:jc w:val="right"/>
        <w:rPr>
          <w:rFonts w:hint="eastAsia" w:ascii="仿宋" w:hAnsi="仿宋" w:eastAsia="仿宋" w:cs="仿宋"/>
          <w:color w:val="auto"/>
          <w:sz w:val="24"/>
          <w:szCs w:val="24"/>
        </w:rPr>
      </w:pPr>
    </w:p>
    <w:p w14:paraId="6A965CB1">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6AC064D0">
      <w:pPr>
        <w:spacing w:line="360" w:lineRule="auto"/>
        <w:rPr>
          <w:rFonts w:hint="eastAsia" w:ascii="仿宋" w:hAnsi="仿宋" w:eastAsia="仿宋" w:cs="仿宋"/>
          <w:b/>
          <w:color w:val="auto"/>
          <w:kern w:val="0"/>
          <w:sz w:val="24"/>
          <w:szCs w:val="24"/>
        </w:rPr>
      </w:pPr>
    </w:p>
    <w:p w14:paraId="5DE96E36">
      <w:pPr>
        <w:spacing w:line="360" w:lineRule="auto"/>
        <w:rPr>
          <w:rFonts w:hint="eastAsia" w:ascii="仿宋" w:hAnsi="仿宋" w:eastAsia="仿宋" w:cs="仿宋"/>
          <w:b/>
          <w:color w:val="auto"/>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BDB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14:paraId="39A750AA">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 xml:space="preserve">法人身份证正面  </w:t>
            </w:r>
          </w:p>
        </w:tc>
        <w:tc>
          <w:tcPr>
            <w:tcW w:w="4350" w:type="dxa"/>
            <w:shd w:val="clear" w:color="auto" w:fill="auto"/>
          </w:tcPr>
          <w:p w14:paraId="4FB6003B">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法人身份证反面</w:t>
            </w:r>
          </w:p>
        </w:tc>
      </w:tr>
      <w:tr w14:paraId="53A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14:paraId="66DA64F3">
            <w:pPr>
              <w:spacing w:line="360" w:lineRule="auto"/>
              <w:jc w:val="center"/>
              <w:rPr>
                <w:rFonts w:hint="eastAsia" w:ascii="仿宋" w:hAnsi="仿宋" w:eastAsia="仿宋" w:cs="仿宋"/>
                <w:b/>
                <w:color w:val="auto"/>
                <w:kern w:val="0"/>
                <w:sz w:val="24"/>
                <w:szCs w:val="24"/>
              </w:rPr>
            </w:pPr>
          </w:p>
        </w:tc>
        <w:tc>
          <w:tcPr>
            <w:tcW w:w="4350" w:type="dxa"/>
            <w:shd w:val="clear" w:color="auto" w:fill="auto"/>
          </w:tcPr>
          <w:p w14:paraId="57782D67">
            <w:pPr>
              <w:spacing w:line="360" w:lineRule="auto"/>
              <w:jc w:val="center"/>
              <w:rPr>
                <w:rFonts w:hint="eastAsia" w:ascii="仿宋" w:hAnsi="仿宋" w:eastAsia="仿宋" w:cs="仿宋"/>
                <w:b/>
                <w:color w:val="auto"/>
                <w:kern w:val="0"/>
                <w:sz w:val="24"/>
                <w:szCs w:val="24"/>
              </w:rPr>
            </w:pPr>
          </w:p>
        </w:tc>
      </w:tr>
    </w:tbl>
    <w:p w14:paraId="56EFB8B6">
      <w:pPr>
        <w:spacing w:line="360" w:lineRule="auto"/>
        <w:rPr>
          <w:rFonts w:hint="eastAsia" w:ascii="仿宋" w:hAnsi="仿宋" w:eastAsia="仿宋" w:cs="仿宋"/>
          <w:color w:val="auto"/>
          <w:sz w:val="24"/>
          <w:szCs w:val="24"/>
        </w:rPr>
      </w:pPr>
    </w:p>
    <w:p w14:paraId="46397904">
      <w:pP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14:paraId="1D0E1188">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法定代表人授权委托书</w:t>
      </w:r>
    </w:p>
    <w:p w14:paraId="221C009D">
      <w:pPr>
        <w:spacing w:line="360" w:lineRule="auto"/>
        <w:jc w:val="center"/>
        <w:rPr>
          <w:rFonts w:hint="eastAsia" w:ascii="仿宋" w:hAnsi="仿宋" w:eastAsia="仿宋" w:cs="仿宋"/>
          <w:color w:val="auto"/>
          <w:sz w:val="24"/>
          <w:szCs w:val="24"/>
        </w:rPr>
      </w:pPr>
    </w:p>
    <w:p w14:paraId="58061071">
      <w:pPr>
        <w:spacing w:line="360" w:lineRule="auto"/>
        <w:ind w:right="594" w:rightChars="283"/>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（采购人名称）</w:t>
      </w:r>
      <w:r>
        <w:rPr>
          <w:rFonts w:hint="eastAsia" w:ascii="仿宋" w:hAnsi="仿宋" w:eastAsia="仿宋" w:cs="仿宋"/>
          <w:color w:val="auto"/>
          <w:sz w:val="24"/>
          <w:szCs w:val="24"/>
        </w:rPr>
        <w:t>：</w:t>
      </w:r>
    </w:p>
    <w:p w14:paraId="471F0B2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投标</w:t>
      </w:r>
      <w:r>
        <w:rPr>
          <w:rFonts w:hint="eastAsia" w:ascii="仿宋" w:hAnsi="仿宋" w:eastAsia="仿宋" w:cs="仿宋"/>
          <w:color w:val="auto"/>
          <w:sz w:val="24"/>
          <w:szCs w:val="24"/>
          <w:u w:val="single"/>
          <w:lang w:eastAsia="zh-CN"/>
        </w:rPr>
        <w:t>人</w:t>
      </w:r>
      <w:r>
        <w:rPr>
          <w:rFonts w:hint="eastAsia" w:ascii="仿宋" w:hAnsi="仿宋" w:eastAsia="仿宋" w:cs="仿宋"/>
          <w:color w:val="auto"/>
          <w:sz w:val="24"/>
          <w:szCs w:val="24"/>
          <w:u w:val="single"/>
        </w:rPr>
        <w:t>全称）</w:t>
      </w: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u w:val="single"/>
        </w:rPr>
        <w:t>（代表姓名）</w:t>
      </w:r>
      <w:r>
        <w:rPr>
          <w:rFonts w:hint="eastAsia" w:ascii="仿宋" w:hAnsi="仿宋" w:eastAsia="仿宋" w:cs="仿宋"/>
          <w:color w:val="auto"/>
          <w:sz w:val="24"/>
          <w:szCs w:val="24"/>
        </w:rPr>
        <w:t>为全权代表法定代表人，参加贵方组织的</w:t>
      </w:r>
      <w:r>
        <w:rPr>
          <w:rFonts w:hint="eastAsia" w:ascii="仿宋" w:hAnsi="仿宋" w:eastAsia="仿宋" w:cs="仿宋"/>
          <w:color w:val="auto"/>
          <w:sz w:val="24"/>
          <w:szCs w:val="24"/>
          <w:u w:val="single"/>
          <w:lang w:val="en-US" w:eastAsia="zh-CN"/>
        </w:rPr>
        <w:t xml:space="preserve">                  标段（如有）   </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活动中的一切事宜。</w:t>
      </w:r>
    </w:p>
    <w:p w14:paraId="0D02F5E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法定代表人授权委托书有效期_</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4DE198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竞谈人</w:t>
      </w:r>
      <w:r>
        <w:rPr>
          <w:rFonts w:hint="eastAsia" w:ascii="仿宋" w:hAnsi="仿宋" w:eastAsia="仿宋" w:cs="仿宋"/>
          <w:color w:val="auto"/>
          <w:sz w:val="24"/>
          <w:szCs w:val="24"/>
        </w:rPr>
        <w:t>全称（公章）：</w:t>
      </w:r>
    </w:p>
    <w:p w14:paraId="378DE2E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法定代表人（签字）： </w:t>
      </w:r>
    </w:p>
    <w:p w14:paraId="5430BEE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授权委托人（签字）：  </w:t>
      </w:r>
    </w:p>
    <w:p w14:paraId="0281792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p w14:paraId="582BA7B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14:paraId="3096E49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职      务：</w:t>
      </w:r>
    </w:p>
    <w:p w14:paraId="1674AC36">
      <w:pPr>
        <w:spacing w:line="360" w:lineRule="auto"/>
        <w:ind w:left="850" w:leftChars="405" w:firstLine="569"/>
        <w:jc w:val="righ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年  月  日    </w:t>
      </w:r>
    </w:p>
    <w:p w14:paraId="161A6FB7">
      <w:pPr>
        <w:spacing w:line="360" w:lineRule="auto"/>
        <w:ind w:firstLine="851" w:firstLineChars="353"/>
        <w:rPr>
          <w:rFonts w:hint="eastAsia" w:ascii="仿宋" w:hAnsi="仿宋" w:eastAsia="仿宋" w:cs="仿宋"/>
          <w:b/>
          <w:bCs/>
          <w:color w:val="auto"/>
          <w:sz w:val="24"/>
          <w:szCs w:val="24"/>
        </w:rPr>
      </w:pPr>
      <w:r>
        <w:rPr>
          <w:rFonts w:hint="eastAsia" w:ascii="仿宋" w:hAnsi="仿宋" w:eastAsia="仿宋" w:cs="仿宋"/>
          <w:b/>
          <w:bCs/>
          <w:color w:val="auto"/>
          <w:sz w:val="24"/>
          <w:szCs w:val="24"/>
        </w:rPr>
        <w:t>附：</w:t>
      </w:r>
    </w:p>
    <w:p w14:paraId="6B60EBA0">
      <w:pPr>
        <w:rPr>
          <w:rFonts w:hint="eastAsia" w:ascii="仿宋" w:hAnsi="仿宋" w:eastAsia="仿宋" w:cs="仿宋"/>
          <w:color w:val="auto"/>
          <w:sz w:val="24"/>
        </w:rPr>
      </w:pPr>
      <w:r>
        <w:rPr>
          <w:rFonts w:hint="eastAsia" w:ascii="仿宋" w:hAnsi="仿宋" w:eastAsia="仿宋" w:cs="仿宋"/>
          <w:color w:val="auto"/>
          <w:sz w:val="24"/>
        </w:rPr>
        <w:br w:type="page"/>
      </w:r>
    </w:p>
    <w:p w14:paraId="094B757B">
      <w:pPr>
        <w:spacing w:line="360" w:lineRule="auto"/>
        <w:rPr>
          <w:rFonts w:ascii="仿宋" w:hAnsi="仿宋" w:eastAsia="仿宋" w:cs="仿宋"/>
          <w:color w:val="auto"/>
          <w:sz w:val="24"/>
        </w:rPr>
      </w:pPr>
      <w:r>
        <w:rPr>
          <w:rFonts w:hint="eastAsia" w:ascii="仿宋" w:hAnsi="仿宋" w:eastAsia="仿宋" w:cs="仿宋"/>
          <w:color w:val="auto"/>
          <w:sz w:val="24"/>
        </w:rPr>
        <w:t>附件1：</w:t>
      </w:r>
    </w:p>
    <w:p w14:paraId="2F7B6596">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保密承诺书</w:t>
      </w:r>
    </w:p>
    <w:p w14:paraId="43C731C5">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甲方：内蒙古蒙牛乳业(集团)股份有限公司</w:t>
      </w:r>
    </w:p>
    <w:p w14:paraId="5191B91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地址：</w:t>
      </w:r>
    </w:p>
    <w:p w14:paraId="6D14688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乙方（承诺方）：</w:t>
      </w:r>
    </w:p>
    <w:p w14:paraId="090E5F2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地址：</w:t>
      </w:r>
    </w:p>
    <w:p w14:paraId="17B11948">
      <w:pPr>
        <w:widowControl/>
        <w:shd w:val="clear" w:color="auto" w:fill="FFFFFF"/>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甲乙双方就</w:t>
      </w:r>
      <w:r>
        <w:rPr>
          <w:rFonts w:hint="eastAsia" w:ascii="仿宋" w:hAnsi="仿宋" w:eastAsia="仿宋" w:cs="仿宋"/>
          <w:color w:val="auto"/>
          <w:sz w:val="24"/>
          <w:u w:val="single"/>
        </w:rPr>
        <w:t xml:space="preserve">                       </w:t>
      </w:r>
      <w:r>
        <w:rPr>
          <w:rFonts w:hint="eastAsia" w:ascii="仿宋" w:hAnsi="仿宋" w:eastAsia="仿宋" w:cs="仿宋"/>
          <w:color w:val="auto"/>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C13265C">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一、定义</w:t>
      </w:r>
    </w:p>
    <w:p w14:paraId="1EC31B6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29D355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（一）由乙方以书面文件证明：该等信息已于披露之前已由乙方所持有；</w:t>
      </w:r>
    </w:p>
    <w:p w14:paraId="2C25AC5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（二）已公开发表或非因乙方作为或不作为的原因，已向公众披露；</w:t>
      </w:r>
    </w:p>
    <w:p w14:paraId="1FA3DA06">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（三）已由甲方书面同意乙方公开；</w:t>
      </w:r>
    </w:p>
    <w:p w14:paraId="47A5BDE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（四）由乙方在未使用该等机密信息的情形下独立开发；</w:t>
      </w:r>
    </w:p>
    <w:p w14:paraId="0895556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（五）乙方从第三方处合法、正当地取得，且该第三方对该等机密信息不承担保密义务。</w:t>
      </w:r>
    </w:p>
    <w:p w14:paraId="4D0CE883">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二、保密</w:t>
      </w:r>
    </w:p>
    <w:p w14:paraId="67372E4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AC211B3">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三、公开</w:t>
      </w:r>
    </w:p>
    <w:p w14:paraId="155100A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F3B2231">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四、强制性披露</w:t>
      </w:r>
    </w:p>
    <w:p w14:paraId="32AA0FB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9F57E1C">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五、返还资料</w:t>
      </w:r>
    </w:p>
    <w:p w14:paraId="4343837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在承诺书目的终止、撤消、完成、被拒绝或以其他方式解除后，根据甲方的书面要求，乙方应在项目谈判协商终止后的</w:t>
      </w:r>
      <w:r>
        <w:rPr>
          <w:rFonts w:hint="eastAsia" w:ascii="仿宋" w:hAnsi="仿宋" w:eastAsia="仿宋" w:cs="仿宋"/>
          <w:color w:val="auto"/>
          <w:sz w:val="24"/>
          <w:u w:val="single"/>
        </w:rPr>
        <w:t xml:space="preserve"> 5 </w:t>
      </w:r>
      <w:r>
        <w:rPr>
          <w:rFonts w:hint="eastAsia" w:ascii="仿宋" w:hAnsi="仿宋" w:eastAsia="仿宋" w:cs="仿宋"/>
          <w:color w:val="auto"/>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37B354">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六、非授权许可</w:t>
      </w:r>
    </w:p>
    <w:p w14:paraId="678B5F52">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3472D1A">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七、义务限定</w:t>
      </w:r>
    </w:p>
    <w:p w14:paraId="377681E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本承诺书不得被视作或解释为甲方有义务向乙方提供任何信息、与乙方进行商业交易或签订任何最终协议，除非甲方决定向乙方提供信息或与其签订与交易有关的最终协议。</w:t>
      </w:r>
    </w:p>
    <w:p w14:paraId="3BFE94E8">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八、信息准确性</w:t>
      </w:r>
    </w:p>
    <w:p w14:paraId="79CAA16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3B09859B">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九、期限</w:t>
      </w:r>
    </w:p>
    <w:p w14:paraId="7338450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本承诺书中乙方之保密义务应自乙方收到机密信息之日起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年内持续有效，且不因承诺书目的之达成而终止。</w:t>
      </w:r>
    </w:p>
    <w:p w14:paraId="48AEDC35">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十、补充条款</w:t>
      </w:r>
    </w:p>
    <w:p w14:paraId="1044B7A1">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（一）合规条款</w:t>
      </w:r>
    </w:p>
    <w:p w14:paraId="5059199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3A5A3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2、履约行为合规承诺：乙方承诺具有履行本承诺书约定的能力，且履行行为符合现行法律法规等规范性文件的要求。</w:t>
      </w:r>
    </w:p>
    <w:p w14:paraId="50A36F06">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5B37D70">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4、合规检查：乙方应积极配合甲方的合规检查，理解并接受甲方对乙方的合规管理要求，同意配合合规检查，并不得隐瞒任何可能对甲方利益造成影响的信息。</w:t>
      </w:r>
    </w:p>
    <w:p w14:paraId="7A48560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5、劳动用工: 乙方承诺不雇佣、使用童工，保障其员工的劳动合法权益，不纵容、支持、实施歧视、威胁员工的行为或发布相关言论。</w:t>
      </w:r>
    </w:p>
    <w:p w14:paraId="0A4396A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3720F1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7、严格约束乙方员工及其代理人：乙方承诺严格遵守合规承诺条款，若乙方员工及乙方的代理人或代理机构违反相关承诺即视为乙方违反。</w:t>
      </w:r>
    </w:p>
    <w:p w14:paraId="3970728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E0771B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2337DAD">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10、责任承担：如果乙方违反前述合规承诺条款，甲方有权要求乙方承担因此而给甲方造成的全部损失。</w:t>
      </w:r>
    </w:p>
    <w:p w14:paraId="762C5E8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11、适用原则：本承诺书中合规条款对乙方的要求与承诺书中其他条款不一致的，以对乙方要求更高的条款为准。</w:t>
      </w:r>
    </w:p>
    <w:p w14:paraId="5F33278B">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（二）环境保护</w:t>
      </w:r>
    </w:p>
    <w:p w14:paraId="7A2103A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DA312B8">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（三）附件法律效力条款</w:t>
      </w:r>
    </w:p>
    <w:p w14:paraId="387CFBEE">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本着接受法律上之约束的意向，双方特此同意本承诺书全部附录、附件等均为本承诺书不可分割的部分，共同构成双方就达成的全部承诺书，与本承诺书具有同等法律效力。</w:t>
      </w:r>
    </w:p>
    <w:p w14:paraId="54763833">
      <w:pPr>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十一、适用法律</w:t>
      </w:r>
    </w:p>
    <w:p w14:paraId="7A646495">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本承诺书适用中华人民共和国法律，因本承诺书引起或与本承诺书有关的任何争议，应由双方友好协商解决，协商不成的，双方同意选择第【二】种方式解决：</w:t>
      </w:r>
    </w:p>
    <w:p w14:paraId="59C34D6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（一）向呼和浩特仲裁委员会申请仲裁。因仲裁产生的包括但不限于仲裁费、律师费、调查费、差旅费等，由乙方承担。</w:t>
      </w:r>
    </w:p>
    <w:p w14:paraId="77EEB07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（二）向甲方所在地有管辖权的人民法院提起诉讼。因诉讼产生的包括但不限于诉讼费、律师费、调查费、差旅费等，由乙方承担。</w:t>
      </w:r>
    </w:p>
    <w:p w14:paraId="1D67F7B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十二、违约责任及救济</w:t>
      </w:r>
    </w:p>
    <w:p w14:paraId="171CF62C">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E470A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如果乙方违反本承诺书的任何规定情形,则甲方有权将乙方拉入蒙牛供应商黑名单，乙方应积极配合甲方在10个工作日内收回已经泄露的信息。</w:t>
      </w:r>
    </w:p>
    <w:p w14:paraId="2B809D3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十三、生效</w:t>
      </w:r>
    </w:p>
    <w:p w14:paraId="48D94CDB">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本承诺书经乙方签字盖章之日起生效。</w:t>
      </w:r>
    </w:p>
    <w:p w14:paraId="3CAF9657">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（以下无正文）                          </w:t>
      </w:r>
    </w:p>
    <w:p w14:paraId="5D5CC31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乙方（承诺方）：</w:t>
      </w:r>
    </w:p>
    <w:p w14:paraId="261CC713">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代表人：</w:t>
      </w:r>
    </w:p>
    <w:p w14:paraId="62F12BD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日期：</w:t>
      </w:r>
    </w:p>
    <w:p w14:paraId="09E7239E">
      <w:pPr>
        <w:rPr>
          <w:rFonts w:hint="eastAsia" w:ascii="仿宋" w:hAnsi="仿宋" w:eastAsia="仿宋" w:cs="仿宋"/>
          <w:color w:val="auto"/>
          <w:sz w:val="24"/>
        </w:rPr>
      </w:pPr>
      <w:r>
        <w:rPr>
          <w:rFonts w:hint="eastAsia" w:ascii="仿宋" w:hAnsi="仿宋" w:eastAsia="仿宋" w:cs="仿宋"/>
          <w:color w:val="auto"/>
          <w:sz w:val="24"/>
        </w:rPr>
        <w:br w:type="page"/>
      </w:r>
    </w:p>
    <w:p w14:paraId="4A911B93">
      <w:pPr>
        <w:spacing w:line="360" w:lineRule="auto"/>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附件3</w:t>
      </w:r>
    </w:p>
    <w:p w14:paraId="5ED6389B">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lang w:val="en-US" w:eastAsia="zh-CN"/>
        </w:rPr>
        <w:t>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14:paraId="0B614249">
      <w:pPr>
        <w:pStyle w:val="6"/>
        <w:overflowPunct w:val="0"/>
        <w:spacing w:line="360" w:lineRule="auto"/>
        <w:ind w:left="0"/>
        <w:jc w:val="both"/>
        <w:rPr>
          <w:rFonts w:hAnsi="仿宋"/>
          <w:color w:val="auto"/>
          <w:kern w:val="2"/>
          <w:sz w:val="24"/>
          <w:szCs w:val="24"/>
        </w:rPr>
      </w:pPr>
    </w:p>
    <w:p w14:paraId="367B8F86">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r>
        <w:rPr>
          <w:rFonts w:hint="eastAsia" w:hAnsi="仿宋"/>
          <w:color w:val="auto"/>
          <w:kern w:val="2"/>
          <w:sz w:val="24"/>
          <w:szCs w:val="24"/>
        </w:rPr>
        <w:t>致:</w:t>
      </w:r>
    </w:p>
    <w:p w14:paraId="4DF1F657">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r>
        <w:rPr>
          <w:rFonts w:hint="eastAsia" w:hAnsi="仿宋"/>
          <w:color w:val="auto"/>
          <w:kern w:val="2"/>
          <w:sz w:val="24"/>
          <w:szCs w:val="24"/>
        </w:rPr>
        <w:t>关于"</w:t>
      </w:r>
      <w:r>
        <w:rPr>
          <w:rFonts w:hint="eastAsia" w:hAnsi="仿宋"/>
          <w:color w:val="auto"/>
          <w:kern w:val="2"/>
          <w:sz w:val="24"/>
          <w:szCs w:val="24"/>
          <w:u w:val="single"/>
          <w:lang w:val="en-US" w:eastAsia="zh-CN"/>
        </w:rPr>
        <w:t xml:space="preserve">                  </w:t>
      </w:r>
      <w:r>
        <w:rPr>
          <w:rFonts w:hint="eastAsia" w:hAnsi="仿宋"/>
          <w:color w:val="auto"/>
          <w:kern w:val="2"/>
          <w:sz w:val="24"/>
          <w:szCs w:val="24"/>
        </w:rPr>
        <w:t>项目(招标项目编号:</w:t>
      </w:r>
      <w:r>
        <w:rPr>
          <w:rFonts w:hint="eastAsia" w:hAnsi="仿宋"/>
          <w:color w:val="auto"/>
          <w:kern w:val="2"/>
          <w:sz w:val="24"/>
          <w:szCs w:val="24"/>
          <w:u w:val="single"/>
          <w:lang w:val="en-US" w:eastAsia="zh-CN"/>
        </w:rPr>
        <w:t xml:space="preserve">            </w:t>
      </w:r>
      <w:r>
        <w:rPr>
          <w:rFonts w:hint="eastAsia" w:hAnsi="仿宋"/>
          <w:color w:val="auto"/>
          <w:kern w:val="2"/>
          <w:sz w:val="24"/>
          <w:szCs w:val="24"/>
        </w:rPr>
        <w:t>)"项目，我公司未采取联合体形式参与本项目</w:t>
      </w:r>
      <w:r>
        <w:rPr>
          <w:rFonts w:hint="eastAsia" w:hAnsi="仿宋"/>
          <w:color w:val="auto"/>
          <w:kern w:val="2"/>
          <w:sz w:val="24"/>
          <w:szCs w:val="24"/>
          <w:lang w:val="en-US" w:eastAsia="zh-CN"/>
        </w:rPr>
        <w:t>竞谈，承诺中标后不分包或转包</w:t>
      </w:r>
      <w:r>
        <w:rPr>
          <w:rFonts w:hint="eastAsia" w:hAnsi="仿宋"/>
          <w:color w:val="auto"/>
          <w:kern w:val="2"/>
          <w:sz w:val="24"/>
          <w:szCs w:val="24"/>
        </w:rPr>
        <w:t>。</w:t>
      </w:r>
    </w:p>
    <w:p w14:paraId="5B84143A">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p>
    <w:p w14:paraId="54E07BED">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hAnsi="仿宋"/>
          <w:color w:val="auto"/>
          <w:kern w:val="2"/>
          <w:sz w:val="24"/>
          <w:szCs w:val="24"/>
        </w:rPr>
      </w:pPr>
    </w:p>
    <w:p w14:paraId="23D15DCE">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Ansi="仿宋"/>
          <w:color w:val="auto"/>
          <w:kern w:val="2"/>
          <w:sz w:val="24"/>
          <w:szCs w:val="24"/>
        </w:rPr>
      </w:pPr>
      <w:r>
        <w:rPr>
          <w:rFonts w:hint="eastAsia" w:hAnsi="仿宋"/>
          <w:color w:val="auto"/>
          <w:kern w:val="2"/>
          <w:sz w:val="24"/>
          <w:szCs w:val="24"/>
        </w:rPr>
        <w:t>特此声明!</w:t>
      </w:r>
    </w:p>
    <w:p w14:paraId="184576EE">
      <w:pPr>
        <w:pStyle w:val="6"/>
        <w:overflowPunct w:val="0"/>
        <w:spacing w:line="360" w:lineRule="auto"/>
        <w:ind w:left="0"/>
        <w:jc w:val="both"/>
        <w:rPr>
          <w:rFonts w:hAnsi="仿宋"/>
          <w:color w:val="auto"/>
          <w:kern w:val="2"/>
          <w:sz w:val="24"/>
          <w:szCs w:val="24"/>
        </w:rPr>
      </w:pPr>
    </w:p>
    <w:p w14:paraId="6BBA55DF">
      <w:pPr>
        <w:pStyle w:val="6"/>
        <w:overflowPunct w:val="0"/>
        <w:spacing w:line="360" w:lineRule="auto"/>
        <w:ind w:left="0"/>
        <w:jc w:val="right"/>
        <w:rPr>
          <w:rFonts w:hint="eastAsia" w:hAnsi="仿宋"/>
          <w:color w:val="auto"/>
          <w:kern w:val="2"/>
          <w:sz w:val="24"/>
          <w:szCs w:val="24"/>
          <w:lang w:val="en-US" w:eastAsia="zh-CN"/>
        </w:rPr>
      </w:pPr>
      <w:r>
        <w:rPr>
          <w:rFonts w:hint="eastAsia" w:hAnsi="仿宋"/>
          <w:color w:val="auto"/>
          <w:kern w:val="2"/>
          <w:sz w:val="24"/>
          <w:szCs w:val="24"/>
          <w:lang w:val="en-US" w:eastAsia="zh-CN"/>
        </w:rPr>
        <w:t>xx公司</w:t>
      </w:r>
    </w:p>
    <w:p w14:paraId="69C94724">
      <w:pPr>
        <w:pStyle w:val="6"/>
        <w:overflowPunct w:val="0"/>
        <w:spacing w:line="360" w:lineRule="auto"/>
        <w:ind w:left="0"/>
        <w:jc w:val="right"/>
        <w:rPr>
          <w:rFonts w:hint="default" w:hAnsi="仿宋"/>
          <w:color w:val="auto"/>
          <w:kern w:val="2"/>
          <w:sz w:val="24"/>
          <w:szCs w:val="24"/>
          <w:lang w:val="en-US" w:eastAsia="zh-CN"/>
        </w:rPr>
      </w:pPr>
      <w:r>
        <w:rPr>
          <w:rFonts w:hint="eastAsia" w:hAnsi="仿宋"/>
          <w:color w:val="auto"/>
          <w:kern w:val="2"/>
          <w:sz w:val="24"/>
          <w:szCs w:val="24"/>
          <w:lang w:val="en-US" w:eastAsia="zh-CN"/>
        </w:rPr>
        <w:t>xx日期</w:t>
      </w:r>
    </w:p>
    <w:p w14:paraId="581007F6">
      <w:pPr>
        <w:pStyle w:val="6"/>
        <w:overflowPunct w:val="0"/>
        <w:spacing w:line="360" w:lineRule="auto"/>
        <w:ind w:left="0"/>
        <w:jc w:val="both"/>
        <w:rPr>
          <w:rFonts w:hAnsi="仿宋"/>
          <w:color w:val="auto"/>
          <w:kern w:val="2"/>
          <w:sz w:val="24"/>
          <w:szCs w:val="24"/>
        </w:rPr>
      </w:pPr>
    </w:p>
    <w:p w14:paraId="1B4078C6">
      <w:pPr>
        <w:pStyle w:val="6"/>
        <w:overflowPunct w:val="0"/>
        <w:spacing w:line="360" w:lineRule="auto"/>
        <w:ind w:left="0"/>
        <w:jc w:val="both"/>
        <w:rPr>
          <w:rFonts w:hAnsi="仿宋"/>
          <w:color w:val="auto"/>
          <w:kern w:val="2"/>
          <w:sz w:val="24"/>
          <w:szCs w:val="24"/>
        </w:rPr>
      </w:pPr>
    </w:p>
    <w:p w14:paraId="2F5793B2">
      <w:pPr>
        <w:pStyle w:val="6"/>
        <w:overflowPunct w:val="0"/>
        <w:spacing w:line="360" w:lineRule="auto"/>
        <w:ind w:left="0"/>
        <w:jc w:val="both"/>
        <w:rPr>
          <w:rFonts w:hAnsi="仿宋"/>
          <w:color w:val="auto"/>
          <w:kern w:val="2"/>
          <w:sz w:val="24"/>
          <w:szCs w:val="24"/>
        </w:rPr>
      </w:pPr>
    </w:p>
    <w:p w14:paraId="6EAB590B">
      <w:pPr>
        <w:pStyle w:val="6"/>
        <w:overflowPunct w:val="0"/>
        <w:spacing w:line="360" w:lineRule="auto"/>
        <w:ind w:left="0"/>
        <w:jc w:val="both"/>
        <w:rPr>
          <w:rFonts w:hAnsi="仿宋"/>
          <w:color w:val="auto"/>
          <w:kern w:val="2"/>
          <w:sz w:val="24"/>
          <w:szCs w:val="24"/>
        </w:rPr>
      </w:pPr>
    </w:p>
    <w:p w14:paraId="3A2E0087">
      <w:pPr>
        <w:pStyle w:val="6"/>
        <w:overflowPunct w:val="0"/>
        <w:spacing w:line="360" w:lineRule="auto"/>
        <w:ind w:left="0"/>
        <w:jc w:val="both"/>
        <w:rPr>
          <w:rFonts w:hAnsi="仿宋"/>
          <w:color w:val="auto"/>
          <w:kern w:val="2"/>
          <w:sz w:val="24"/>
          <w:szCs w:val="24"/>
        </w:rPr>
      </w:pPr>
    </w:p>
    <w:p w14:paraId="01011474">
      <w:pPr>
        <w:rPr>
          <w:rFonts w:ascii="仿宋" w:hAnsi="仿宋" w:eastAsia="仿宋" w:cs="仿宋"/>
          <w:b/>
          <w:color w:val="auto"/>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60606"/>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7B6831"/>
    <w:rsid w:val="02FF4BC4"/>
    <w:rsid w:val="03824AAC"/>
    <w:rsid w:val="03B94246"/>
    <w:rsid w:val="06402C0B"/>
    <w:rsid w:val="07A34FF1"/>
    <w:rsid w:val="08337E2C"/>
    <w:rsid w:val="084D31AF"/>
    <w:rsid w:val="08C65B8C"/>
    <w:rsid w:val="0BBA1522"/>
    <w:rsid w:val="0BF113B5"/>
    <w:rsid w:val="0C935C3C"/>
    <w:rsid w:val="0D8F55BF"/>
    <w:rsid w:val="12483364"/>
    <w:rsid w:val="12857DF3"/>
    <w:rsid w:val="144D68B0"/>
    <w:rsid w:val="14DC4893"/>
    <w:rsid w:val="154D47EE"/>
    <w:rsid w:val="158C7332"/>
    <w:rsid w:val="15B036FB"/>
    <w:rsid w:val="1A357E1A"/>
    <w:rsid w:val="1B0B43F3"/>
    <w:rsid w:val="1B0D514B"/>
    <w:rsid w:val="1B4070D9"/>
    <w:rsid w:val="1CED3535"/>
    <w:rsid w:val="1D7E4010"/>
    <w:rsid w:val="1FFE1506"/>
    <w:rsid w:val="20210D51"/>
    <w:rsid w:val="206A6B9C"/>
    <w:rsid w:val="20E013D0"/>
    <w:rsid w:val="21E67E2B"/>
    <w:rsid w:val="237123F7"/>
    <w:rsid w:val="242157C3"/>
    <w:rsid w:val="24F22597"/>
    <w:rsid w:val="255E46D4"/>
    <w:rsid w:val="26292F4C"/>
    <w:rsid w:val="262E286F"/>
    <w:rsid w:val="26453613"/>
    <w:rsid w:val="273B4842"/>
    <w:rsid w:val="27AC4531"/>
    <w:rsid w:val="27FE22A3"/>
    <w:rsid w:val="2BB67A3C"/>
    <w:rsid w:val="2CB744E2"/>
    <w:rsid w:val="2D67693D"/>
    <w:rsid w:val="2EA339A5"/>
    <w:rsid w:val="2EB931C8"/>
    <w:rsid w:val="2EBF0565"/>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40BA1CE4"/>
    <w:rsid w:val="43187EFB"/>
    <w:rsid w:val="44AD2F6F"/>
    <w:rsid w:val="44D707C6"/>
    <w:rsid w:val="45063D15"/>
    <w:rsid w:val="46905E67"/>
    <w:rsid w:val="469945A1"/>
    <w:rsid w:val="46A65751"/>
    <w:rsid w:val="46CF460D"/>
    <w:rsid w:val="47C16834"/>
    <w:rsid w:val="47C456ED"/>
    <w:rsid w:val="490E3DD1"/>
    <w:rsid w:val="4AE000BE"/>
    <w:rsid w:val="4B186467"/>
    <w:rsid w:val="4BDE7972"/>
    <w:rsid w:val="4DE07805"/>
    <w:rsid w:val="4E0A035C"/>
    <w:rsid w:val="4E3A3511"/>
    <w:rsid w:val="4E9223C8"/>
    <w:rsid w:val="4F606746"/>
    <w:rsid w:val="4FB94DAD"/>
    <w:rsid w:val="510D4856"/>
    <w:rsid w:val="514276D7"/>
    <w:rsid w:val="51476006"/>
    <w:rsid w:val="51C55131"/>
    <w:rsid w:val="52185DF5"/>
    <w:rsid w:val="539C73EC"/>
    <w:rsid w:val="53DD0D26"/>
    <w:rsid w:val="5447483C"/>
    <w:rsid w:val="54C87412"/>
    <w:rsid w:val="55075DC3"/>
    <w:rsid w:val="55545149"/>
    <w:rsid w:val="565F3FE4"/>
    <w:rsid w:val="56DD35BB"/>
    <w:rsid w:val="578452AF"/>
    <w:rsid w:val="580E5A83"/>
    <w:rsid w:val="58926B7B"/>
    <w:rsid w:val="593C2162"/>
    <w:rsid w:val="5A89319F"/>
    <w:rsid w:val="5B2439B2"/>
    <w:rsid w:val="5BB46942"/>
    <w:rsid w:val="5D8F1B64"/>
    <w:rsid w:val="5DEA21A7"/>
    <w:rsid w:val="5DFFA46F"/>
    <w:rsid w:val="5FAD37A1"/>
    <w:rsid w:val="5FC01634"/>
    <w:rsid w:val="5FE61D4E"/>
    <w:rsid w:val="60155303"/>
    <w:rsid w:val="61404E37"/>
    <w:rsid w:val="61BA27D8"/>
    <w:rsid w:val="625F2ACB"/>
    <w:rsid w:val="634C56B2"/>
    <w:rsid w:val="666B31F4"/>
    <w:rsid w:val="67825B46"/>
    <w:rsid w:val="67F0485E"/>
    <w:rsid w:val="67FF4FC2"/>
    <w:rsid w:val="6988406D"/>
    <w:rsid w:val="6A05798A"/>
    <w:rsid w:val="6A3A6264"/>
    <w:rsid w:val="6C755C79"/>
    <w:rsid w:val="6CA81631"/>
    <w:rsid w:val="6DFF3A4C"/>
    <w:rsid w:val="6ED861A0"/>
    <w:rsid w:val="6FD64C81"/>
    <w:rsid w:val="6FDC1165"/>
    <w:rsid w:val="70892DF9"/>
    <w:rsid w:val="724820CD"/>
    <w:rsid w:val="72877CE3"/>
    <w:rsid w:val="74BB2FF2"/>
    <w:rsid w:val="77831C55"/>
    <w:rsid w:val="7798707D"/>
    <w:rsid w:val="77E9279A"/>
    <w:rsid w:val="77F008AA"/>
    <w:rsid w:val="78287E53"/>
    <w:rsid w:val="793632CD"/>
    <w:rsid w:val="79F20261"/>
    <w:rsid w:val="7AC06311"/>
    <w:rsid w:val="7BFE5099"/>
    <w:rsid w:val="7C3E5CD1"/>
    <w:rsid w:val="7D8D55F8"/>
    <w:rsid w:val="7E394D59"/>
    <w:rsid w:val="7ED177D0"/>
    <w:rsid w:val="7F4D7871"/>
    <w:rsid w:val="7F967F89"/>
    <w:rsid w:val="7FDFEC21"/>
    <w:rsid w:val="D2E82F5F"/>
    <w:rsid w:val="D7F0819B"/>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4"/>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6608</Words>
  <Characters>7208</Characters>
  <Lines>52</Lines>
  <Paragraphs>14</Paragraphs>
  <TotalTime>2</TotalTime>
  <ScaleCrop>false</ScaleCrop>
  <LinksUpToDate>false</LinksUpToDate>
  <CharactersWithSpaces>7778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2018-03-22T10:08:00Z</dcterms:created>
  <dc:creator>0002219</dc:creator>
  <cp:lastModifiedBy>赵慧峰</cp:lastModifiedBy>
  <dcterms:modified xsi:type="dcterms:W3CDTF">2024-09-29T07:21:08Z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B719AEF67E7D4A19BD842B83C4E7B3F4_13</vt:lpwstr>
  </property>
</Properties>
</file>