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1B43">
      <w:pPr>
        <w:widowControl/>
        <w:shd w:val="clear" w:color="auto" w:fill="FFFFFF"/>
        <w:snapToGrid w:val="0"/>
        <w:spacing w:line="360" w:lineRule="auto"/>
        <w:jc w:val="center"/>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蒙牛乳业雅士利国际新建奶粉工厂项目输送码垛设备及货架采购项目</w:t>
      </w:r>
    </w:p>
    <w:p w14:paraId="3CE4A1CD">
      <w:pPr>
        <w:widowControl/>
        <w:shd w:val="clear" w:color="auto" w:fill="FFFFFF"/>
        <w:snapToGrid w:val="0"/>
        <w:spacing w:line="360" w:lineRule="auto"/>
        <w:jc w:val="center"/>
        <w:rPr>
          <w:rFonts w:hint="eastAsia"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hint="eastAsia"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eastAsia="zh-CN"/>
        </w:rPr>
        <w:t>蒙牛乳业雅士利国际新建奶粉工厂项目输送码垛设备及货架采购项目</w:t>
      </w:r>
      <w:r>
        <w:rPr>
          <w:rFonts w:hint="eastAsia" w:ascii="仿宋" w:hAnsi="仿宋" w:eastAsia="仿宋" w:cs="仿宋"/>
          <w:sz w:val="24"/>
        </w:rPr>
        <w:t>进行竞争性谈判, 欢迎符合资格条件的</w:t>
      </w:r>
      <w:r>
        <w:rPr>
          <w:rFonts w:hint="eastAsia" w:ascii="仿宋" w:hAnsi="仿宋" w:eastAsia="仿宋" w:cs="仿宋"/>
          <w:sz w:val="24"/>
          <w:lang w:val="en-US" w:eastAsia="zh-CN"/>
        </w:rPr>
        <w:t>投标</w:t>
      </w:r>
      <w:r>
        <w:rPr>
          <w:rFonts w:hint="eastAsia" w:ascii="仿宋" w:hAnsi="仿宋" w:eastAsia="仿宋" w:cs="仿宋"/>
          <w:sz w:val="24"/>
        </w:rPr>
        <w:t>人参加。</w:t>
      </w:r>
    </w:p>
    <w:p w14:paraId="3E26954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一、项目编号：MNCGJH-20241011-0010</w:t>
      </w:r>
    </w:p>
    <w:p w14:paraId="02A2D4C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eastAsia="zh-CN"/>
        </w:rPr>
        <w:t>蒙牛乳业雅士利国际新建奶粉工厂项目输送码垛设备及货架采购项目</w:t>
      </w:r>
    </w:p>
    <w:p w14:paraId="49EAC13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59579E23">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雅士利和林九期工厂项目需新增提升机、堆垛机、自动货柜、留样室货架等设备。</w:t>
      </w:r>
    </w:p>
    <w:p w14:paraId="02AA0A0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投标人</w:t>
      </w:r>
      <w:r>
        <w:rPr>
          <w:rFonts w:hint="eastAsia" w:ascii="仿宋" w:hAnsi="仿宋" w:eastAsia="仿宋" w:cs="仿宋"/>
          <w:sz w:val="24"/>
        </w:rPr>
        <w:t>必须是在中华人民共和国境内注册的具有独立法人资格的企业单位；</w:t>
      </w:r>
    </w:p>
    <w:p w14:paraId="24F04028">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投标人</w:t>
      </w:r>
      <w:r>
        <w:rPr>
          <w:rFonts w:hint="eastAsia" w:ascii="仿宋" w:hAnsi="仿宋" w:eastAsia="仿宋" w:cs="仿宋"/>
          <w:sz w:val="24"/>
        </w:rPr>
        <w:t>须具有一般纳税人资格，企业最近1年任意3个月的依法纳税证明材料和社保缴纳证明；</w:t>
      </w:r>
    </w:p>
    <w:p w14:paraId="6515885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投标人</w:t>
      </w:r>
      <w:r>
        <w:rPr>
          <w:rFonts w:hint="eastAsia" w:ascii="仿宋" w:hAnsi="仿宋" w:eastAsia="仿宋" w:cs="仿宋"/>
          <w:sz w:val="24"/>
        </w:rPr>
        <w:t>授权委托人须为本企业在职人员；</w:t>
      </w:r>
    </w:p>
    <w:p w14:paraId="4D165DEF">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4、投标人须为具有安装和销售（以上二项需同时具备）能力的设备厂商或授权代理商，若是授权代理商，必须取得所投货物生产制造商出具的书面授权书；采购单位只接受生产厂家一份项目授权书；</w:t>
      </w:r>
    </w:p>
    <w:p w14:paraId="5EA48E72">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投标人</w:t>
      </w:r>
      <w:r>
        <w:rPr>
          <w:rFonts w:hint="eastAsia" w:ascii="仿宋" w:hAnsi="仿宋" w:eastAsia="仿宋" w:cs="仿宋"/>
          <w:sz w:val="24"/>
        </w:rPr>
        <w:t>须具有</w:t>
      </w:r>
      <w:r>
        <w:rPr>
          <w:rFonts w:hint="eastAsia" w:ascii="仿宋" w:hAnsi="仿宋" w:eastAsia="仿宋" w:cs="仿宋"/>
          <w:sz w:val="24"/>
          <w:lang w:val="en-US" w:eastAsia="zh-CN"/>
        </w:rPr>
        <w:t>近三年</w:t>
      </w:r>
      <w:r>
        <w:rPr>
          <w:rFonts w:hint="eastAsia" w:ascii="仿宋" w:hAnsi="仿宋" w:eastAsia="仿宋" w:cs="仿宋"/>
          <w:sz w:val="24"/>
        </w:rPr>
        <w:t>2021年1月1日至今至少两份类似项目业绩（以合同为准）；</w:t>
      </w:r>
    </w:p>
    <w:p w14:paraId="2352A84B">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投标人</w:t>
      </w:r>
      <w:r>
        <w:rPr>
          <w:rFonts w:hint="eastAsia" w:ascii="仿宋" w:hAnsi="仿宋" w:eastAsia="仿宋" w:cs="仿宋"/>
          <w:sz w:val="24"/>
        </w:rPr>
        <w:t>须具有</w:t>
      </w:r>
      <w:r>
        <w:rPr>
          <w:rFonts w:hint="eastAsia" w:ascii="仿宋" w:hAnsi="仿宋" w:eastAsia="仿宋" w:cs="仿宋"/>
          <w:sz w:val="24"/>
          <w:lang w:val="en-US" w:eastAsia="zh-CN"/>
        </w:rPr>
        <w:t>近三年</w:t>
      </w: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至2023年第三方财务审计报告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lang w:eastAsia="zh-CN"/>
        </w:rPr>
        <w:t>投标人</w:t>
      </w:r>
      <w:r>
        <w:rPr>
          <w:rFonts w:hint="eastAsia" w:ascii="仿宋" w:hAnsi="仿宋" w:eastAsia="仿宋" w:cs="仿宋"/>
          <w:sz w:val="24"/>
        </w:rPr>
        <w:t>未被列入国家企业信用信息公示系统（http://www.gsxt.gov.cn/index.html）严重违法失信企业名单；</w:t>
      </w:r>
    </w:p>
    <w:p w14:paraId="79AAA9E7">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lang w:eastAsia="zh-CN"/>
        </w:rPr>
        <w:t>投标人</w:t>
      </w:r>
      <w:r>
        <w:rPr>
          <w:rFonts w:hint="eastAsia" w:ascii="仿宋" w:hAnsi="仿宋" w:eastAsia="仿宋" w:cs="仿宋"/>
          <w:sz w:val="24"/>
        </w:rPr>
        <w:t>在“中华人民共和国应急管理部（https://www.mem.gov.cn/）”近一年内无公开曝光的安全事件；</w:t>
      </w:r>
    </w:p>
    <w:p w14:paraId="73B1290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lang w:eastAsia="zh-CN"/>
        </w:rPr>
        <w:t>投标人</w:t>
      </w:r>
      <w:r>
        <w:rPr>
          <w:rFonts w:hint="eastAsia" w:ascii="仿宋" w:hAnsi="仿宋" w:eastAsia="仿宋" w:cs="仿宋"/>
          <w:sz w:val="24"/>
        </w:rPr>
        <w:t>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与采购人存在利害关系可能影响采购公正性的法人、其他组织或者个人，不得参加</w:t>
      </w:r>
      <w:r>
        <w:rPr>
          <w:rFonts w:hint="eastAsia" w:ascii="仿宋" w:hAnsi="仿宋" w:eastAsia="仿宋" w:cs="仿宋"/>
          <w:sz w:val="24"/>
          <w:lang w:val="en-US" w:eastAsia="zh-CN"/>
        </w:rPr>
        <w:t>投标</w:t>
      </w:r>
      <w:r>
        <w:rPr>
          <w:rFonts w:hint="eastAsia" w:ascii="仿宋" w:hAnsi="仿宋" w:eastAsia="仿宋" w:cs="仿宋"/>
          <w:sz w:val="24"/>
        </w:rPr>
        <w:t>；单位负责人为同一人或者存在控股、管理关系的不同单位，不得参加同一标段竞谈或者未划分标段的同一招标项目竞谈</w:t>
      </w:r>
      <w:r>
        <w:rPr>
          <w:rFonts w:hint="eastAsia" w:ascii="仿宋" w:hAnsi="仿宋" w:eastAsia="仿宋" w:cs="仿宋"/>
          <w:sz w:val="24"/>
          <w:lang w:val="en-US" w:eastAsia="zh-CN"/>
        </w:rPr>
        <w:t>项目</w:t>
      </w:r>
      <w:r>
        <w:rPr>
          <w:rFonts w:hint="eastAsia" w:ascii="仿宋" w:hAnsi="仿宋" w:eastAsia="仿宋" w:cs="仿宋"/>
          <w:sz w:val="24"/>
        </w:rPr>
        <w:t>；存在以上情况的，在通过资格预审的情况下，允许最先报名的潜在</w:t>
      </w:r>
      <w:r>
        <w:rPr>
          <w:rFonts w:hint="eastAsia" w:ascii="仿宋" w:hAnsi="仿宋" w:eastAsia="仿宋" w:cs="仿宋"/>
          <w:sz w:val="24"/>
          <w:lang w:eastAsia="zh-CN"/>
        </w:rPr>
        <w:t>投标人</w:t>
      </w:r>
      <w:r>
        <w:rPr>
          <w:rFonts w:hint="eastAsia" w:ascii="仿宋" w:hAnsi="仿宋" w:eastAsia="仿宋" w:cs="仿宋"/>
          <w:sz w:val="24"/>
        </w:rPr>
        <w:t>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3C32A60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11、本次竞谈项目不接受多家单位联合报价，不允许分包或转包；</w:t>
      </w:r>
    </w:p>
    <w:p w14:paraId="42209BCD">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不接受中粮及蒙牛供应商黑名单（以蒙牛集团采购招标管理部下发的黑名单为准）的企业参与竞争；</w:t>
      </w:r>
    </w:p>
    <w:p w14:paraId="063C1C85">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lang w:eastAsia="zh-CN"/>
        </w:rPr>
        <w:t>投标人</w:t>
      </w:r>
      <w:r>
        <w:rPr>
          <w:rFonts w:hint="eastAsia" w:ascii="仿宋" w:hAnsi="仿宋" w:eastAsia="仿宋" w:cs="仿宋"/>
          <w:sz w:val="24"/>
        </w:rPr>
        <w:t>须执行蒙牛集团《承包商安全管理制度》管理要求。</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w:t>
      </w:r>
      <w:bookmarkStart w:id="0" w:name="OLE_LINK6"/>
      <w:r>
        <w:rPr>
          <w:rFonts w:hint="eastAsia" w:ascii="仿宋" w:hAnsi="仿宋" w:eastAsia="仿宋" w:cs="仿宋"/>
          <w:b/>
          <w:color w:val="000000"/>
          <w:sz w:val="24"/>
        </w:rPr>
        <w:t>报名须知</w:t>
      </w:r>
    </w:p>
    <w:p w14:paraId="14E5BCF4">
      <w:pPr>
        <w:spacing w:line="360" w:lineRule="auto"/>
        <w:ind w:firstLine="482" w:firstLineChars="200"/>
        <w:jc w:val="left"/>
        <w:rPr>
          <w:rFonts w:hint="eastAsia" w:ascii="仿宋" w:hAnsi="仿宋" w:eastAsia="仿宋" w:cs="仿宋"/>
          <w:b/>
          <w:bCs/>
          <w:color w:val="000000"/>
          <w:sz w:val="24"/>
        </w:rPr>
      </w:pPr>
      <w:bookmarkStart w:id="1" w:name="OLE_LINK4"/>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w:t>
      </w:r>
      <w:r>
        <w:rPr>
          <w:rFonts w:hint="eastAsia" w:ascii="仿宋" w:hAnsi="仿宋" w:eastAsia="仿宋" w:cs="仿宋"/>
          <w:sz w:val="24"/>
          <w:lang w:eastAsia="zh-CN"/>
        </w:rPr>
        <w:t>（</w:t>
      </w:r>
      <w:r>
        <w:rPr>
          <w:rFonts w:hint="eastAsia" w:ascii="仿宋" w:hAnsi="仿宋" w:eastAsia="仿宋" w:cs="仿宋"/>
          <w:sz w:val="24"/>
          <w:lang w:val="en-US" w:eastAsia="zh-CN"/>
        </w:rPr>
        <w:t>2023年10月至2024年9月</w:t>
      </w:r>
      <w:r>
        <w:rPr>
          <w:rFonts w:hint="eastAsia" w:ascii="仿宋" w:hAnsi="仿宋" w:eastAsia="仿宋" w:cs="仿宋"/>
          <w:sz w:val="24"/>
          <w:lang w:eastAsia="zh-CN"/>
        </w:rPr>
        <w:t>）</w:t>
      </w:r>
      <w:r>
        <w:rPr>
          <w:rFonts w:hint="eastAsia" w:ascii="仿宋" w:hAnsi="仿宋" w:eastAsia="仿宋" w:cs="仿宋"/>
          <w:sz w:val="24"/>
        </w:rPr>
        <w:t>在本单位的社保证明材料。</w:t>
      </w:r>
    </w:p>
    <w:p w14:paraId="6A795AC0">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（以上</w:t>
      </w:r>
      <w:r>
        <w:rPr>
          <w:rFonts w:hint="eastAsia" w:ascii="仿宋" w:hAnsi="仿宋" w:eastAsia="仿宋" w:cs="仿宋"/>
          <w:sz w:val="24"/>
          <w:lang w:val="en-US" w:eastAsia="zh-CN"/>
        </w:rPr>
        <w:t>二</w:t>
      </w:r>
      <w:r>
        <w:rPr>
          <w:rFonts w:hint="eastAsia" w:ascii="仿宋" w:hAnsi="仿宋" w:eastAsia="仿宋" w:cs="仿宋"/>
          <w:sz w:val="24"/>
        </w:rPr>
        <w:t>项需同时具备）能力的设备厂商</w:t>
      </w:r>
      <w:r>
        <w:rPr>
          <w:rFonts w:hint="eastAsia" w:ascii="仿宋" w:hAnsi="仿宋" w:eastAsia="仿宋" w:cs="仿宋"/>
          <w:sz w:val="24"/>
          <w:lang w:val="en-US" w:eastAsia="zh-CN"/>
        </w:rPr>
        <w:t>承诺书</w:t>
      </w:r>
      <w:r>
        <w:rPr>
          <w:rFonts w:hint="eastAsia" w:ascii="仿宋" w:hAnsi="仿宋" w:eastAsia="仿宋" w:cs="仿宋"/>
          <w:sz w:val="24"/>
        </w:rPr>
        <w:t>，若是授权代理商，必须取得所投货物生产制造商出具的书面授权书；</w:t>
      </w:r>
      <w:r>
        <w:rPr>
          <w:rFonts w:hint="eastAsia" w:ascii="仿宋" w:hAnsi="仿宋" w:eastAsia="仿宋" w:cs="仿宋"/>
          <w:sz w:val="24"/>
          <w:lang w:val="en-US" w:eastAsia="zh-CN"/>
        </w:rPr>
        <w:t>采购</w:t>
      </w:r>
      <w:r>
        <w:rPr>
          <w:rFonts w:hint="eastAsia" w:ascii="仿宋" w:hAnsi="仿宋" w:eastAsia="仿宋" w:cs="仿宋"/>
          <w:sz w:val="24"/>
        </w:rPr>
        <w:t>单位只接受生产厂家一份项目授权书；</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近</w:t>
      </w:r>
      <w:r>
        <w:rPr>
          <w:rFonts w:hint="eastAsia" w:ascii="仿宋" w:hAnsi="仿宋" w:eastAsia="仿宋" w:cs="仿宋"/>
          <w:sz w:val="24"/>
          <w:lang w:val="en-US" w:eastAsia="zh-CN"/>
        </w:rPr>
        <w:t>三</w:t>
      </w:r>
      <w:r>
        <w:rPr>
          <w:rFonts w:hint="eastAsia" w:ascii="仿宋" w:hAnsi="仿宋" w:eastAsia="仿宋" w:cs="仿宋"/>
          <w:sz w:val="24"/>
        </w:rPr>
        <w:t>年2021年1月1日至今至少两个类似项目业绩（以合同为准）</w:t>
      </w:r>
      <w:r>
        <w:rPr>
          <w:rFonts w:hint="eastAsia" w:ascii="仿宋" w:hAnsi="仿宋" w:eastAsia="仿宋" w:cs="仿宋"/>
          <w:sz w:val="24"/>
          <w:lang w:eastAsia="zh-CN"/>
        </w:rPr>
        <w:t>；</w:t>
      </w:r>
    </w:p>
    <w:p w14:paraId="27B3DE21">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bookmarkStart w:id="2" w:name="OLE_LINK7"/>
      <w:r>
        <w:rPr>
          <w:rFonts w:hint="eastAsia" w:ascii="仿宋" w:hAnsi="仿宋" w:eastAsia="仿宋" w:cs="仿宋"/>
          <w:sz w:val="24"/>
        </w:rPr>
        <w:t>提供</w:t>
      </w:r>
      <w:r>
        <w:rPr>
          <w:rFonts w:hint="eastAsia" w:ascii="仿宋" w:hAnsi="仿宋" w:eastAsia="仿宋" w:cs="仿宋"/>
          <w:sz w:val="24"/>
          <w:lang w:val="en-US" w:eastAsia="zh-CN"/>
        </w:rPr>
        <w:t>本企业</w:t>
      </w:r>
      <w:r>
        <w:rPr>
          <w:rFonts w:hint="eastAsia" w:ascii="仿宋" w:hAnsi="仿宋" w:eastAsia="仿宋" w:cs="仿宋"/>
          <w:sz w:val="24"/>
        </w:rPr>
        <w:t>近</w:t>
      </w:r>
      <w:r>
        <w:rPr>
          <w:rFonts w:hint="eastAsia" w:ascii="仿宋" w:hAnsi="仿宋" w:eastAsia="仿宋" w:cs="仿宋"/>
          <w:sz w:val="24"/>
          <w:lang w:val="en-US" w:eastAsia="zh-CN"/>
        </w:rPr>
        <w:t>三</w:t>
      </w:r>
      <w:r>
        <w:rPr>
          <w:rFonts w:hint="eastAsia" w:ascii="仿宋" w:hAnsi="仿宋" w:eastAsia="仿宋" w:cs="仿宋"/>
          <w:sz w:val="24"/>
        </w:rPr>
        <w:t>年（202</w:t>
      </w:r>
      <w:r>
        <w:rPr>
          <w:rFonts w:hint="eastAsia" w:ascii="仿宋" w:hAnsi="仿宋" w:eastAsia="仿宋" w:cs="仿宋"/>
          <w:sz w:val="24"/>
          <w:lang w:val="en-US" w:eastAsia="zh-CN"/>
        </w:rPr>
        <w:t>1</w:t>
      </w:r>
      <w:r>
        <w:rPr>
          <w:rFonts w:hint="eastAsia" w:ascii="仿宋" w:hAnsi="仿宋" w:eastAsia="仿宋" w:cs="仿宋"/>
          <w:sz w:val="24"/>
        </w:rPr>
        <w:t>至2023年）经过第三方专业审计机构出具的财务审计报告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bookmarkEnd w:id="2"/>
    </w:p>
    <w:p w14:paraId="4CA5777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hint="eastAsia"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w:t>
      </w:r>
      <w:bookmarkStart w:id="3" w:name="OLE_LINK5"/>
      <w:r>
        <w:rPr>
          <w:rFonts w:hint="eastAsia" w:ascii="仿宋" w:hAnsi="仿宋" w:eastAsia="仿宋" w:cs="仿宋"/>
          <w:sz w:val="24"/>
        </w:rPr>
        <w:t>中华人民共和国应急管理部（https://www.mem.gov.cn/）</w:t>
      </w:r>
      <w:bookmarkEnd w:id="3"/>
      <w:r>
        <w:rPr>
          <w:rFonts w:hint="eastAsia" w:ascii="仿宋" w:hAnsi="仿宋" w:eastAsia="仿宋" w:cs="仿宋"/>
          <w:sz w:val="24"/>
        </w:rPr>
        <w:t>”近一年内无公开曝光的安全事件证明材料；</w:t>
      </w:r>
    </w:p>
    <w:p w14:paraId="7AD5462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hint="eastAsia"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59C097EE">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
          <w:sz w:val="24"/>
          <w:lang w:eastAsia="zh-CN"/>
        </w:rPr>
        <w:t>）</w:t>
      </w:r>
      <w:r>
        <w:rPr>
          <w:rFonts w:hint="eastAsia" w:ascii="仿宋" w:hAnsi="仿宋" w:eastAsia="仿宋" w:cs="仿宋"/>
          <w:sz w:val="24"/>
          <w:lang w:val="en-US" w:eastAsia="zh-CN"/>
        </w:rPr>
        <w:t>提供告知函（附件4）</w:t>
      </w:r>
    </w:p>
    <w:p w14:paraId="01A18A1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4" w:name="_Toc122871895"/>
      <w:r>
        <w:rPr>
          <w:rFonts w:hint="eastAsia" w:ascii="仿宋" w:hAnsi="仿宋" w:eastAsia="仿宋" w:cs="仿宋"/>
          <w:sz w:val="24"/>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4"/>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0"/>
    <w:bookmarkEnd w:id="1"/>
    <w:p w14:paraId="260D99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2024年10月17日10时至10月21日17时</w:t>
      </w:r>
      <w:r>
        <w:rPr>
          <w:rFonts w:hint="eastAsia" w:ascii="仿宋" w:hAnsi="仿宋" w:eastAsia="仿宋" w:cs="仿宋"/>
          <w:sz w:val="24"/>
        </w:rPr>
        <w:t>；</w:t>
      </w:r>
    </w:p>
    <w:p w14:paraId="7B71F7D9">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2024年10月21日24时</w:t>
      </w:r>
      <w:r>
        <w:rPr>
          <w:rFonts w:hint="eastAsia" w:ascii="仿宋" w:hAnsi="仿宋" w:eastAsia="仿宋" w:cs="仿宋"/>
          <w:sz w:val="24"/>
        </w:rPr>
        <w:t>；</w:t>
      </w:r>
    </w:p>
    <w:p w14:paraId="6CE52D0D">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2024年10月22日0时至10月24日24时</w:t>
      </w:r>
      <w:r>
        <w:rPr>
          <w:rFonts w:hint="eastAsia" w:ascii="仿宋" w:hAnsi="仿宋" w:eastAsia="仿宋" w:cs="仿宋"/>
          <w:sz w:val="24"/>
        </w:rPr>
        <w:t>；</w:t>
      </w:r>
    </w:p>
    <w:p w14:paraId="448D42C7">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4、谈判文件每套售价：人民币500元，售后不退（汇款后将回执扫描后上传至蒙牛集团电子采购招标平台）；</w:t>
      </w:r>
    </w:p>
    <w:p w14:paraId="14765813">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日9时30分（以发出的谈判文件为准）；</w:t>
      </w:r>
    </w:p>
    <w:p w14:paraId="26DDA349">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7647E09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业务咨询联系人：张嘉馨                  </w:t>
      </w:r>
    </w:p>
    <w:p w14:paraId="12736347">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bookmarkStart w:id="5" w:name="OLE_LINK3"/>
      <w:r>
        <w:rPr>
          <w:rFonts w:hint="eastAsia" w:ascii="仿宋" w:hAnsi="仿宋" w:eastAsia="仿宋" w:cs="仿宋"/>
        </w:rPr>
        <w:t>15148996062</w:t>
      </w:r>
      <w:bookmarkEnd w:id="5"/>
    </w:p>
    <w:p w14:paraId="642C458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6" w:name="OLE_LINK2"/>
      <w:r>
        <w:rPr>
          <w:rFonts w:hint="eastAsia" w:ascii="仿宋" w:hAnsi="仿宋" w:eastAsia="仿宋" w:cs="仿宋"/>
          <w:color w:val="000000"/>
          <w:sz w:val="24"/>
        </w:rPr>
        <w:t>薛海燕</w:t>
      </w:r>
      <w:bookmarkEnd w:id="6"/>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7" w:name="OLE_LINK1"/>
      <w:r>
        <w:rPr>
          <w:rFonts w:hint="eastAsia" w:ascii="仿宋" w:hAnsi="仿宋" w:eastAsia="仿宋" w:cs="仿宋"/>
          <w:color w:val="000000"/>
          <w:sz w:val="24"/>
        </w:rPr>
        <w:t>执行过程中涉嫌</w:t>
      </w:r>
      <w:bookmarkEnd w:id="7"/>
      <w:r>
        <w:rPr>
          <w:rFonts w:hint="eastAsia" w:ascii="仿宋" w:hAnsi="仿宋" w:eastAsia="仿宋" w:cs="仿宋"/>
          <w:color w:val="000000"/>
          <w:sz w:val="24"/>
        </w:rPr>
        <w:t>贪污贿赂、滥用职权、玩忽职守、权力寻租、利益输送、徇私舞弊以及浪费公司资财等违纪问题的各类举报</w:t>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17</w:t>
      </w:r>
      <w:bookmarkStart w:id="10" w:name="_GoBack"/>
      <w:bookmarkEnd w:id="10"/>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int="eastAsia" w:ascii="仿宋" w:hAnsi="仿宋" w:eastAsia="仿宋" w:cs="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8"/>
        <w:overflowPunct w:val="0"/>
        <w:spacing w:line="360" w:lineRule="auto"/>
        <w:ind w:left="0"/>
        <w:jc w:val="both"/>
        <w:rPr>
          <w:rFonts w:hint="eastAsia" w:ascii="仿宋" w:hAnsi="仿宋" w:eastAsia="仿宋" w:cs="仿宋"/>
          <w:kern w:val="2"/>
          <w:sz w:val="24"/>
          <w:szCs w:val="24"/>
        </w:rPr>
      </w:pPr>
    </w:p>
    <w:p w14:paraId="08D553A5">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8"/>
        <w:overflowPunct w:val="0"/>
        <w:spacing w:line="360" w:lineRule="auto"/>
        <w:ind w:left="0"/>
        <w:jc w:val="both"/>
        <w:rPr>
          <w:rFonts w:hint="eastAsia" w:ascii="仿宋" w:hAnsi="仿宋" w:eastAsia="仿宋" w:cs="仿宋"/>
          <w:kern w:val="2"/>
          <w:sz w:val="24"/>
          <w:szCs w:val="24"/>
        </w:rPr>
      </w:pPr>
    </w:p>
    <w:p w14:paraId="41595E7E">
      <w:pPr>
        <w:pStyle w:val="8"/>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8" w:name="_Toc22252"/>
      <w:bookmarkStart w:id="9" w:name="_Toc23734"/>
    </w:p>
    <w:p w14:paraId="429E272B">
      <w:pPr>
        <w:rPr>
          <w:rFonts w:hint="eastAsia" w:ascii="仿宋" w:hAnsi="仿宋" w:eastAsia="仿宋" w:cs="仿宋"/>
          <w:sz w:val="24"/>
        </w:rPr>
      </w:pPr>
    </w:p>
    <w:bookmarkEnd w:id="8"/>
    <w:bookmarkEnd w:id="9"/>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08AB39DF">
      <w:pPr>
        <w:widowControl/>
        <w:spacing w:line="360" w:lineRule="auto"/>
        <w:ind w:firstLine="480" w:firstLineChars="200"/>
        <w:rPr>
          <w:rFonts w:hint="eastAsia" w:ascii="仿宋" w:hAnsi="仿宋" w:eastAsia="仿宋" w:cs="仿宋"/>
          <w:sz w:val="24"/>
          <w:lang w:bidi="ar"/>
        </w:rPr>
      </w:pPr>
    </w:p>
    <w:p w14:paraId="3C87FF66">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甲方：（盖章）                             乙方：（盖章）</w:t>
      </w:r>
    </w:p>
    <w:p w14:paraId="32CF1151">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代表人签字：                              代表人签字：</w:t>
      </w:r>
    </w:p>
    <w:p w14:paraId="301BA15F">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电话：                                    电话：</w:t>
      </w:r>
    </w:p>
    <w:p w14:paraId="1AE8D52A">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p>
    <w:p w14:paraId="3ABC1870">
      <w:pPr>
        <w:pStyle w:val="8"/>
        <w:overflowPunct w:val="0"/>
        <w:spacing w:line="360" w:lineRule="auto"/>
        <w:ind w:left="0"/>
        <w:jc w:val="both"/>
        <w:rPr>
          <w:rFonts w:hint="eastAsia" w:ascii="仿宋" w:hAnsi="仿宋" w:eastAsia="仿宋" w:cs="仿宋"/>
          <w:kern w:val="2"/>
          <w:sz w:val="24"/>
          <w:szCs w:val="24"/>
        </w:rPr>
      </w:pPr>
    </w:p>
    <w:p w14:paraId="6D8F4107">
      <w:pPr>
        <w:pStyle w:val="8"/>
        <w:overflowPunct w:val="0"/>
        <w:spacing w:line="360" w:lineRule="auto"/>
        <w:ind w:left="0"/>
        <w:jc w:val="both"/>
        <w:rPr>
          <w:rFonts w:hint="eastAsia" w:ascii="仿宋" w:hAnsi="仿宋" w:eastAsia="仿宋" w:cs="仿宋"/>
          <w:kern w:val="2"/>
          <w:sz w:val="24"/>
          <w:szCs w:val="24"/>
        </w:rPr>
      </w:pPr>
    </w:p>
    <w:p w14:paraId="649137BB">
      <w:pPr>
        <w:pStyle w:val="8"/>
        <w:overflowPunct w:val="0"/>
        <w:spacing w:line="360" w:lineRule="auto"/>
        <w:ind w:left="0"/>
        <w:jc w:val="both"/>
        <w:rPr>
          <w:rFonts w:hint="eastAsia" w:ascii="仿宋" w:hAnsi="仿宋" w:eastAsia="仿宋" w:cs="仿宋"/>
          <w:kern w:val="2"/>
          <w:sz w:val="24"/>
          <w:szCs w:val="24"/>
        </w:rPr>
      </w:pPr>
    </w:p>
    <w:p w14:paraId="7964A10A">
      <w:pPr>
        <w:rPr>
          <w:rFonts w:hint="eastAsia"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52B2F21"/>
    <w:rsid w:val="06402C0B"/>
    <w:rsid w:val="07A34FF1"/>
    <w:rsid w:val="08337E2C"/>
    <w:rsid w:val="084D31AF"/>
    <w:rsid w:val="0BF113B5"/>
    <w:rsid w:val="0C935C3C"/>
    <w:rsid w:val="0D7E0ABF"/>
    <w:rsid w:val="0D8F55BF"/>
    <w:rsid w:val="12483364"/>
    <w:rsid w:val="12857DF3"/>
    <w:rsid w:val="13CD2FB8"/>
    <w:rsid w:val="144D68B0"/>
    <w:rsid w:val="147C3564"/>
    <w:rsid w:val="14DC4893"/>
    <w:rsid w:val="154D47EE"/>
    <w:rsid w:val="158C7332"/>
    <w:rsid w:val="15B036FB"/>
    <w:rsid w:val="18CB43A7"/>
    <w:rsid w:val="1A357E1A"/>
    <w:rsid w:val="1B0B43F3"/>
    <w:rsid w:val="1B0D514B"/>
    <w:rsid w:val="1B4070D9"/>
    <w:rsid w:val="1CED3535"/>
    <w:rsid w:val="1D7E4010"/>
    <w:rsid w:val="1E023B81"/>
    <w:rsid w:val="1FFE1506"/>
    <w:rsid w:val="20210D51"/>
    <w:rsid w:val="206A6B9C"/>
    <w:rsid w:val="20E013D0"/>
    <w:rsid w:val="21E67E2B"/>
    <w:rsid w:val="22076D57"/>
    <w:rsid w:val="23F63F6B"/>
    <w:rsid w:val="242157C3"/>
    <w:rsid w:val="24F22597"/>
    <w:rsid w:val="255E46D4"/>
    <w:rsid w:val="26292F4C"/>
    <w:rsid w:val="262E286F"/>
    <w:rsid w:val="26453613"/>
    <w:rsid w:val="273B4842"/>
    <w:rsid w:val="274C732D"/>
    <w:rsid w:val="27AC4531"/>
    <w:rsid w:val="27FE22A3"/>
    <w:rsid w:val="289D1E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3FF83425"/>
    <w:rsid w:val="42F44377"/>
    <w:rsid w:val="43187EFB"/>
    <w:rsid w:val="44AD2F6F"/>
    <w:rsid w:val="44D707C6"/>
    <w:rsid w:val="45063D15"/>
    <w:rsid w:val="46905E67"/>
    <w:rsid w:val="469945A1"/>
    <w:rsid w:val="46A65751"/>
    <w:rsid w:val="46CF460D"/>
    <w:rsid w:val="46D324F5"/>
    <w:rsid w:val="47C16834"/>
    <w:rsid w:val="47C456ED"/>
    <w:rsid w:val="490E3DD1"/>
    <w:rsid w:val="4AE000BE"/>
    <w:rsid w:val="4B186467"/>
    <w:rsid w:val="4BDE7972"/>
    <w:rsid w:val="4C601287"/>
    <w:rsid w:val="4DE07805"/>
    <w:rsid w:val="4E0A035C"/>
    <w:rsid w:val="4E3A3511"/>
    <w:rsid w:val="4E9223C8"/>
    <w:rsid w:val="4F606746"/>
    <w:rsid w:val="4FB94DAD"/>
    <w:rsid w:val="510D4856"/>
    <w:rsid w:val="514276D7"/>
    <w:rsid w:val="51476006"/>
    <w:rsid w:val="51C55131"/>
    <w:rsid w:val="52185DF5"/>
    <w:rsid w:val="532F1A22"/>
    <w:rsid w:val="538D2976"/>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0A2B60"/>
    <w:rsid w:val="61404E37"/>
    <w:rsid w:val="61BA27D8"/>
    <w:rsid w:val="634C56B2"/>
    <w:rsid w:val="63B079EF"/>
    <w:rsid w:val="67825B46"/>
    <w:rsid w:val="67F91AF4"/>
    <w:rsid w:val="67FF4FC2"/>
    <w:rsid w:val="6A05798A"/>
    <w:rsid w:val="6A3A6264"/>
    <w:rsid w:val="6C755C79"/>
    <w:rsid w:val="6CA81631"/>
    <w:rsid w:val="6DFF3A4C"/>
    <w:rsid w:val="6ED861A0"/>
    <w:rsid w:val="6EFA72EF"/>
    <w:rsid w:val="6FC2727F"/>
    <w:rsid w:val="6FD64C81"/>
    <w:rsid w:val="6FDC1165"/>
    <w:rsid w:val="70892DF9"/>
    <w:rsid w:val="724820CD"/>
    <w:rsid w:val="72877CE3"/>
    <w:rsid w:val="74BB2FF2"/>
    <w:rsid w:val="7590142E"/>
    <w:rsid w:val="77831C55"/>
    <w:rsid w:val="7798707D"/>
    <w:rsid w:val="77E9279A"/>
    <w:rsid w:val="77F008AA"/>
    <w:rsid w:val="78287E53"/>
    <w:rsid w:val="793632CD"/>
    <w:rsid w:val="79F20261"/>
    <w:rsid w:val="7AC06311"/>
    <w:rsid w:val="7BFE5099"/>
    <w:rsid w:val="7C3E5CD1"/>
    <w:rsid w:val="7D823D52"/>
    <w:rsid w:val="7D8D55F8"/>
    <w:rsid w:val="7DC0487A"/>
    <w:rsid w:val="7E1852CE"/>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9554</Words>
  <Characters>10252</Characters>
  <Lines>52</Lines>
  <Paragraphs>14</Paragraphs>
  <TotalTime>2</TotalTime>
  <ScaleCrop>false</ScaleCrop>
  <LinksUpToDate>false</LinksUpToDate>
  <CharactersWithSpaces>10992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2024-10-16T09:39:31Z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B719AEF67E7D4A19BD842B83C4E7B3F4_13</vt:lpwstr>
  </property>
</Properties>
</file>