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A924E">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w:t>
      </w:r>
      <w:r>
        <w:rPr>
          <w:rFonts w:hint="eastAsia" w:ascii="宋体" w:hAnsi="宋体"/>
          <w:sz w:val="36"/>
          <w:szCs w:val="36"/>
          <w:u w:val="single"/>
        </w:rPr>
        <w:t xml:space="preserve">   冰品东北大区2024-2025年客户会会务执行项目计划(二次)</w:t>
      </w:r>
      <w:bookmarkStart w:id="0" w:name="_GoBack"/>
      <w:bookmarkEnd w:id="0"/>
      <w:r>
        <w:rPr>
          <w:rFonts w:hint="eastAsia" w:ascii="宋体" w:hAnsi="宋体"/>
          <w:sz w:val="36"/>
          <w:szCs w:val="36"/>
          <w:u w:val="single"/>
          <w:lang w:val="en-US" w:eastAsia="zh-CN"/>
        </w:rPr>
        <w:t xml:space="preserve"> </w:t>
      </w:r>
      <w:r>
        <w:rPr>
          <w:rFonts w:hint="eastAsia" w:ascii="宋体" w:hAnsi="宋体"/>
          <w:sz w:val="36"/>
          <w:szCs w:val="36"/>
          <w:u w:val="single"/>
        </w:rPr>
        <w:t xml:space="preserve"> </w:t>
      </w:r>
      <w:r>
        <w:rPr>
          <w:rFonts w:hint="eastAsia" w:ascii="宋体" w:hAnsi="宋体" w:cs="宋体"/>
          <w:b/>
          <w:bCs/>
          <w:kern w:val="0"/>
          <w:sz w:val="36"/>
          <w:szCs w:val="36"/>
        </w:rPr>
        <w:t>项目</w:t>
      </w:r>
    </w:p>
    <w:p w14:paraId="7B2D14EB">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询比价信息公告</w:t>
      </w:r>
    </w:p>
    <w:p w14:paraId="7A32FD13">
      <w:pPr>
        <w:ind w:firstLine="560" w:firstLineChars="200"/>
        <w:rPr>
          <w:rFonts w:ascii="仿宋_GB2312" w:hAnsi="宋体" w:eastAsia="仿宋_GB2312"/>
          <w:sz w:val="28"/>
          <w:szCs w:val="28"/>
        </w:rPr>
      </w:pPr>
    </w:p>
    <w:p w14:paraId="26CF06AE">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蒙牛乳业（天津）有限公司</w:t>
      </w:r>
      <w:r>
        <w:rPr>
          <w:rFonts w:hint="eastAsia" w:ascii="仿宋_GB2312" w:hAnsi="宋体" w:eastAsia="仿宋_GB2312"/>
          <w:color w:val="FF0000"/>
          <w:sz w:val="28"/>
          <w:szCs w:val="28"/>
          <w:u w:val="single"/>
          <w:lang w:val="en-US" w:eastAsia="zh-CN"/>
        </w:rPr>
        <w:t>冰品</w:t>
      </w:r>
      <w:r>
        <w:rPr>
          <w:rFonts w:hint="eastAsia" w:ascii="仿宋_GB2312" w:hAnsi="宋体" w:eastAsia="仿宋_GB2312"/>
          <w:sz w:val="28"/>
          <w:szCs w:val="28"/>
        </w:rPr>
        <w:t>事业部就</w:t>
      </w:r>
      <w:r>
        <w:rPr>
          <w:rFonts w:ascii="仿宋_GB2312" w:hAnsi="宋体" w:eastAsia="仿宋_GB2312"/>
          <w:sz w:val="28"/>
          <w:szCs w:val="28"/>
          <w:u w:val="single"/>
        </w:rPr>
        <w:t xml:space="preserve"> </w:t>
      </w:r>
      <w:r>
        <w:rPr>
          <w:rFonts w:hint="eastAsia" w:ascii="仿宋_GB2312" w:hAnsi="宋体" w:eastAsia="仿宋_GB2312"/>
          <w:sz w:val="28"/>
          <w:szCs w:val="28"/>
          <w:u w:val="single"/>
        </w:rPr>
        <w:t>冰品东北大区2024-2025年客户会会务执行项目计划(二次)</w:t>
      </w:r>
      <w:r>
        <w:rPr>
          <w:rFonts w:ascii="仿宋_GB2312" w:hAnsi="宋体" w:eastAsia="仿宋_GB2312"/>
          <w:sz w:val="28"/>
          <w:szCs w:val="28"/>
          <w:u w:val="single"/>
        </w:rPr>
        <w:t xml:space="preserve"> </w:t>
      </w:r>
      <w:r>
        <w:rPr>
          <w:rFonts w:hint="eastAsia" w:ascii="仿宋_GB2312" w:hAnsi="宋体" w:eastAsia="仿宋_GB2312"/>
          <w:sz w:val="28"/>
          <w:szCs w:val="28"/>
        </w:rPr>
        <w:t>项目进行询比价, 欢迎符合资格条件的供应商参加。</w:t>
      </w:r>
    </w:p>
    <w:p w14:paraId="59879B77">
      <w:pPr>
        <w:ind w:firstLine="562" w:firstLineChars="200"/>
        <w:rPr>
          <w:rFonts w:ascii="仿宋_GB2312" w:hAnsi="宋体" w:eastAsia="仿宋_GB2312"/>
          <w:color w:val="FF0000"/>
          <w:sz w:val="28"/>
          <w:szCs w:val="28"/>
        </w:rPr>
      </w:pPr>
      <w:r>
        <w:rPr>
          <w:rFonts w:hint="eastAsia" w:ascii="仿宋_GB2312" w:hAnsi="宋体" w:eastAsia="仿宋_GB2312"/>
          <w:b/>
          <w:sz w:val="28"/>
          <w:szCs w:val="28"/>
        </w:rPr>
        <w:t>一、项目编号：</w:t>
      </w:r>
      <w:r>
        <w:rPr>
          <w:rFonts w:hint="eastAsia" w:ascii="仿宋_GB2312" w:hAnsi="宋体" w:eastAsia="仿宋_GB2312"/>
          <w:color w:val="FF0000"/>
          <w:sz w:val="28"/>
          <w:szCs w:val="28"/>
        </w:rPr>
        <w:t>MNCGJH-20241022-0004</w:t>
      </w:r>
    </w:p>
    <w:p w14:paraId="4497B529">
      <w:p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_GB2312" w:hAnsi="宋体" w:eastAsia="仿宋_GB2312"/>
          <w:color w:val="FF0000"/>
          <w:sz w:val="28"/>
          <w:szCs w:val="28"/>
        </w:rPr>
        <w:t>冰品东北大区2024-2025年客户会会务执行项目计划(二次)</w:t>
      </w:r>
    </w:p>
    <w:p w14:paraId="0F704C08">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14:paraId="468A61CD">
      <w:pPr>
        <w:ind w:firstLine="560" w:firstLineChars="200"/>
        <w:rPr>
          <w:rFonts w:ascii="仿宋_GB2312" w:hAnsi="宋体" w:eastAsia="仿宋_GB2312"/>
          <w:color w:val="FF0000"/>
          <w:sz w:val="28"/>
          <w:szCs w:val="28"/>
        </w:rPr>
      </w:pPr>
      <w:r>
        <w:rPr>
          <w:rFonts w:hint="eastAsia" w:ascii="仿宋_GB2312" w:hAnsi="宋体" w:eastAsia="仿宋_GB2312"/>
          <w:color w:val="FF0000"/>
          <w:sz w:val="28"/>
          <w:szCs w:val="28"/>
        </w:rPr>
        <w:t>冰品东北大区计划于11月召开2024-2025年合作伙伴大会，会议过程中需在酒店进行会议布展，包括但不限于舞台、灯光、音响的租赁及搭建，使用过程中跟踪调试、维护，及会场外形象展示制作、搭建，会议期间伴手礼及其他相关服务的提供，均需要广告公司提供专业的服务</w:t>
      </w:r>
    </w:p>
    <w:p w14:paraId="7CD46B52">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14:paraId="4C8E66D5">
      <w:pPr>
        <w:ind w:right="84" w:rightChars="40" w:firstLine="565" w:firstLineChars="202"/>
        <w:rPr>
          <w:rFonts w:hint="eastAsia" w:ascii="仿宋_GB2312" w:hAnsi="宋体" w:eastAsia="仿宋_GB2312"/>
          <w:color w:val="FF0000"/>
          <w:sz w:val="28"/>
          <w:szCs w:val="28"/>
          <w:lang w:eastAsia="zh-CN"/>
        </w:rPr>
      </w:pPr>
      <w:r>
        <w:rPr>
          <w:rFonts w:hint="eastAsia" w:ascii="仿宋_GB2312" w:hAnsi="宋体" w:eastAsia="仿宋_GB2312"/>
          <w:color w:val="FF0000"/>
          <w:sz w:val="28"/>
          <w:szCs w:val="28"/>
        </w:rPr>
        <w:t>1、投标人必须是在中华人民共和国境内注册的具有独立法人资格的企业单位</w:t>
      </w:r>
      <w:r>
        <w:rPr>
          <w:rFonts w:hint="eastAsia" w:ascii="仿宋_GB2312" w:hAnsi="宋体" w:eastAsia="仿宋_GB2312"/>
          <w:color w:val="FF0000"/>
          <w:sz w:val="28"/>
          <w:szCs w:val="28"/>
          <w:lang w:eastAsia="zh-CN"/>
        </w:rPr>
        <w:t>，</w:t>
      </w:r>
      <w:r>
        <w:rPr>
          <w:rFonts w:hint="eastAsia" w:ascii="仿宋_GB2312" w:hAnsi="宋体" w:eastAsia="仿宋_GB2312"/>
          <w:color w:val="FF0000"/>
          <w:sz w:val="28"/>
          <w:szCs w:val="28"/>
        </w:rPr>
        <w:t>注册资本</w:t>
      </w:r>
      <w:r>
        <w:rPr>
          <w:rFonts w:hint="eastAsia" w:ascii="仿宋_GB2312" w:hAnsi="宋体" w:eastAsia="仿宋_GB2312"/>
          <w:color w:val="FF0000"/>
          <w:sz w:val="28"/>
          <w:szCs w:val="28"/>
          <w:lang w:val="en-US" w:eastAsia="zh-CN"/>
        </w:rPr>
        <w:t>2</w:t>
      </w:r>
      <w:r>
        <w:rPr>
          <w:rFonts w:hint="eastAsia" w:ascii="仿宋_GB2312" w:hAnsi="宋体" w:eastAsia="仿宋_GB2312"/>
          <w:color w:val="FF0000"/>
          <w:sz w:val="28"/>
          <w:szCs w:val="28"/>
        </w:rPr>
        <w:t>00万元</w:t>
      </w:r>
      <w:r>
        <w:rPr>
          <w:rFonts w:hint="eastAsia" w:ascii="仿宋_GB2312" w:hAnsi="宋体" w:eastAsia="仿宋_GB2312"/>
          <w:color w:val="FF0000"/>
          <w:sz w:val="28"/>
          <w:szCs w:val="28"/>
          <w:lang w:val="en-US" w:eastAsia="zh-CN"/>
        </w:rPr>
        <w:t>及</w:t>
      </w:r>
      <w:r>
        <w:rPr>
          <w:rFonts w:hint="eastAsia" w:ascii="仿宋_GB2312" w:hAnsi="宋体" w:eastAsia="仿宋_GB2312"/>
          <w:color w:val="FF0000"/>
          <w:sz w:val="28"/>
          <w:szCs w:val="28"/>
        </w:rPr>
        <w:t>以上</w:t>
      </w:r>
      <w:r>
        <w:rPr>
          <w:rFonts w:hint="eastAsia" w:ascii="仿宋_GB2312" w:hAnsi="宋体" w:eastAsia="仿宋_GB2312"/>
          <w:color w:val="FF0000"/>
          <w:sz w:val="28"/>
          <w:szCs w:val="28"/>
          <w:lang w:eastAsia="zh-CN"/>
        </w:rPr>
        <w:t>；</w:t>
      </w:r>
    </w:p>
    <w:p w14:paraId="61D81A39">
      <w:pPr>
        <w:ind w:right="84" w:rightChars="40" w:firstLine="565" w:firstLineChars="202"/>
        <w:rPr>
          <w:rFonts w:hint="eastAsia" w:ascii="仿宋_GB2312" w:hAnsi="宋体" w:eastAsia="仿宋_GB2312"/>
          <w:color w:val="FF0000"/>
          <w:sz w:val="28"/>
          <w:szCs w:val="28"/>
        </w:rPr>
      </w:pPr>
      <w:r>
        <w:rPr>
          <w:rFonts w:hint="eastAsia" w:ascii="仿宋_GB2312" w:hAnsi="宋体" w:eastAsia="仿宋_GB2312"/>
          <w:color w:val="FF0000"/>
          <w:sz w:val="28"/>
          <w:szCs w:val="28"/>
        </w:rPr>
        <w:t>2、投标人须具有一般纳税人认定资格证明材料；</w:t>
      </w:r>
    </w:p>
    <w:p w14:paraId="2A00E848">
      <w:pPr>
        <w:ind w:right="84" w:rightChars="40" w:firstLine="565" w:firstLineChars="202"/>
        <w:rPr>
          <w:rFonts w:hint="eastAsia" w:ascii="仿宋_GB2312" w:hAnsi="宋体" w:eastAsia="仿宋_GB2312"/>
          <w:color w:val="FF0000"/>
          <w:sz w:val="28"/>
          <w:szCs w:val="28"/>
          <w:lang w:eastAsia="zh-CN"/>
        </w:rPr>
      </w:pPr>
      <w:r>
        <w:rPr>
          <w:rFonts w:hint="eastAsia" w:ascii="仿宋_GB2312" w:hAnsi="宋体" w:eastAsia="仿宋_GB2312"/>
          <w:color w:val="FF0000"/>
          <w:sz w:val="28"/>
          <w:szCs w:val="28"/>
        </w:rPr>
        <w:t>3、投标人须具有2021年1月1日至今至少两份类似项目业绩的证明材料</w:t>
      </w:r>
      <w:r>
        <w:rPr>
          <w:rFonts w:hint="eastAsia" w:ascii="仿宋_GB2312" w:hAnsi="宋体" w:eastAsia="仿宋_GB2312"/>
          <w:color w:val="FF0000"/>
          <w:sz w:val="28"/>
          <w:szCs w:val="28"/>
          <w:lang w:eastAsia="zh-CN"/>
        </w:rPr>
        <w:t>；</w:t>
      </w:r>
    </w:p>
    <w:p w14:paraId="3BFD8844">
      <w:pPr>
        <w:ind w:right="84" w:rightChars="40" w:firstLine="565" w:firstLineChars="202"/>
        <w:rPr>
          <w:rFonts w:hint="eastAsia" w:ascii="仿宋_GB2312" w:hAnsi="宋体" w:eastAsia="仿宋_GB2312"/>
          <w:color w:val="FF0000"/>
          <w:sz w:val="28"/>
          <w:szCs w:val="28"/>
        </w:rPr>
      </w:pPr>
      <w:r>
        <w:rPr>
          <w:rFonts w:hint="eastAsia" w:ascii="仿宋_GB2312" w:hAnsi="宋体" w:eastAsia="仿宋_GB2312"/>
          <w:color w:val="FF0000"/>
          <w:sz w:val="28"/>
          <w:szCs w:val="28"/>
        </w:rPr>
        <w:t>4、投标人2021至2023年须具有财务报表或经第三方审计的财务报告；</w:t>
      </w:r>
    </w:p>
    <w:p w14:paraId="5CF7297E">
      <w:pPr>
        <w:ind w:right="84" w:rightChars="40" w:firstLine="565" w:firstLineChars="202"/>
        <w:rPr>
          <w:rFonts w:hint="eastAsia" w:ascii="仿宋_GB2312" w:hAnsi="宋体" w:eastAsia="仿宋_GB2312" w:cs="Times New Roman"/>
          <w:color w:val="FF0000"/>
          <w:sz w:val="28"/>
          <w:szCs w:val="28"/>
        </w:rPr>
      </w:pPr>
      <w:r>
        <w:rPr>
          <w:rFonts w:hint="eastAsia" w:ascii="仿宋_GB2312" w:hAnsi="宋体" w:eastAsia="仿宋_GB2312" w:cs="Times New Roman"/>
          <w:color w:val="FF0000"/>
          <w:sz w:val="28"/>
          <w:szCs w:val="28"/>
        </w:rPr>
        <w:t>5、竞价人未被列入国家企业信用信息公示系统（</w:t>
      </w:r>
      <w:r>
        <w:rPr>
          <w:rFonts w:hint="eastAsia" w:ascii="仿宋_GB2312" w:hAnsi="宋体" w:eastAsia="仿宋_GB2312" w:cs="Times New Roman"/>
          <w:color w:val="FF0000"/>
          <w:sz w:val="28"/>
          <w:szCs w:val="28"/>
        </w:rPr>
        <w:fldChar w:fldCharType="begin"/>
      </w:r>
      <w:r>
        <w:rPr>
          <w:rFonts w:hint="eastAsia" w:ascii="仿宋_GB2312" w:hAnsi="宋体" w:eastAsia="仿宋_GB2312" w:cs="Times New Roman"/>
          <w:color w:val="FF0000"/>
          <w:sz w:val="28"/>
          <w:szCs w:val="28"/>
        </w:rPr>
        <w:instrText xml:space="preserve"> HYPERLINK "http://www.gsxt.gov.cn/index.html%EF%BC%89%E4%B8%A5%E9%87%8D%E8%BF%9D%E6%B3%95%E5%A4%B1%E4%BF%A1%E4%BC%81%E4%B8%9A%E5%90%8D%E5%8D%95" \t "_blank" </w:instrText>
      </w:r>
      <w:r>
        <w:rPr>
          <w:rFonts w:hint="eastAsia" w:ascii="仿宋_GB2312" w:hAnsi="宋体" w:eastAsia="仿宋_GB2312" w:cs="Times New Roman"/>
          <w:color w:val="FF0000"/>
          <w:sz w:val="28"/>
          <w:szCs w:val="28"/>
        </w:rPr>
        <w:fldChar w:fldCharType="separate"/>
      </w:r>
      <w:r>
        <w:rPr>
          <w:rFonts w:hint="eastAsia" w:ascii="仿宋_GB2312" w:hAnsi="宋体" w:eastAsia="仿宋_GB2312" w:cs="Times New Roman"/>
          <w:color w:val="FF0000"/>
          <w:sz w:val="28"/>
          <w:szCs w:val="28"/>
        </w:rPr>
        <w:t>http://www.gsxt.gov.cn/index.html）严重违法失信企业名单</w:t>
      </w:r>
      <w:r>
        <w:rPr>
          <w:rFonts w:hint="eastAsia" w:ascii="仿宋_GB2312" w:hAnsi="宋体" w:eastAsia="仿宋_GB2312" w:cs="Times New Roman"/>
          <w:color w:val="FF0000"/>
          <w:sz w:val="28"/>
          <w:szCs w:val="28"/>
        </w:rPr>
        <w:fldChar w:fldCharType="end"/>
      </w:r>
      <w:r>
        <w:rPr>
          <w:rFonts w:hint="eastAsia" w:ascii="仿宋_GB2312" w:hAnsi="宋体" w:eastAsia="仿宋_GB2312" w:cs="Times New Roman"/>
          <w:color w:val="FF0000"/>
          <w:sz w:val="28"/>
          <w:szCs w:val="28"/>
        </w:rPr>
        <w:t>。</w:t>
      </w:r>
    </w:p>
    <w:p w14:paraId="59896020">
      <w:pPr>
        <w:ind w:right="84" w:rightChars="40" w:firstLine="565" w:firstLineChars="202"/>
        <w:rPr>
          <w:rFonts w:hint="eastAsia" w:ascii="仿宋_GB2312" w:hAnsi="宋体" w:eastAsia="仿宋_GB2312" w:cs="Times New Roman"/>
          <w:color w:val="FF0000"/>
          <w:sz w:val="28"/>
          <w:szCs w:val="28"/>
        </w:rPr>
      </w:pPr>
      <w:r>
        <w:rPr>
          <w:rFonts w:hint="eastAsia" w:ascii="仿宋_GB2312" w:hAnsi="宋体" w:eastAsia="仿宋_GB2312" w:cs="Times New Roman"/>
          <w:color w:val="FF0000"/>
          <w:sz w:val="28"/>
          <w:szCs w:val="28"/>
          <w:lang w:val="en-US" w:eastAsia="zh-CN"/>
        </w:rPr>
        <w:t>6</w:t>
      </w:r>
      <w:r>
        <w:rPr>
          <w:rFonts w:hint="eastAsia" w:ascii="仿宋_GB2312" w:hAnsi="宋体" w:eastAsia="仿宋_GB2312" w:cs="Times New Roman"/>
          <w:color w:val="FF0000"/>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6CCA86EE">
      <w:pPr>
        <w:ind w:right="84" w:rightChars="40" w:firstLine="565" w:firstLineChars="202"/>
        <w:rPr>
          <w:rFonts w:hint="eastAsia" w:ascii="仿宋_GB2312" w:hAnsi="宋体" w:eastAsia="仿宋_GB2312" w:cs="Times New Roman"/>
          <w:color w:val="FF0000"/>
          <w:sz w:val="28"/>
          <w:szCs w:val="28"/>
        </w:rPr>
      </w:pPr>
      <w:r>
        <w:rPr>
          <w:rFonts w:hint="eastAsia" w:ascii="仿宋_GB2312" w:hAnsi="宋体" w:eastAsia="仿宋_GB2312" w:cs="Times New Roman"/>
          <w:color w:val="FF0000"/>
          <w:sz w:val="28"/>
          <w:szCs w:val="28"/>
          <w:lang w:val="en-US" w:eastAsia="zh-CN"/>
        </w:rPr>
        <w:t>7</w:t>
      </w:r>
      <w:r>
        <w:rPr>
          <w:rFonts w:hint="eastAsia" w:ascii="仿宋_GB2312" w:hAnsi="宋体" w:eastAsia="仿宋_GB2312" w:cs="Times New Roman"/>
          <w:color w:val="FF0000"/>
          <w:sz w:val="28"/>
          <w:szCs w:val="28"/>
        </w:rPr>
        <w:t>、本次询比价不接受多家单位联合报价，不允许分包或转包。</w:t>
      </w:r>
    </w:p>
    <w:p w14:paraId="44C9CEE1">
      <w:pPr>
        <w:ind w:right="84" w:rightChars="40" w:firstLine="565" w:firstLineChars="202"/>
        <w:rPr>
          <w:rFonts w:ascii="仿宋_GB2312" w:hAnsi="宋体" w:eastAsia="仿宋_GB2312"/>
          <w:sz w:val="28"/>
          <w:szCs w:val="28"/>
        </w:rPr>
      </w:pPr>
      <w:r>
        <w:rPr>
          <w:rFonts w:hint="eastAsia" w:ascii="仿宋_GB2312" w:hAnsi="宋体" w:eastAsia="仿宋_GB2312" w:cs="Times New Roman"/>
          <w:color w:val="FF0000"/>
          <w:sz w:val="28"/>
          <w:szCs w:val="28"/>
          <w:lang w:val="en-US" w:eastAsia="zh-CN"/>
        </w:rPr>
        <w:t>8</w:t>
      </w:r>
      <w:r>
        <w:rPr>
          <w:rFonts w:hint="eastAsia" w:ascii="仿宋_GB2312" w:hAnsi="宋体" w:eastAsia="仿宋_GB2312" w:cs="Times New Roman"/>
          <w:color w:val="FF0000"/>
          <w:sz w:val="28"/>
          <w:szCs w:val="28"/>
        </w:rPr>
        <w:t>、不接受中粮及蒙牛供应商黑名单（以蒙牛集团采购执行管理部下发的黑名单为准）的企业参与竞争；</w:t>
      </w:r>
    </w:p>
    <w:p w14:paraId="5F6077D5">
      <w:pPr>
        <w:spacing w:line="500" w:lineRule="exact"/>
        <w:ind w:firstLine="562" w:firstLineChars="200"/>
        <w:jc w:val="left"/>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14:paraId="5BF1660F">
      <w:pPr>
        <w:spacing w:line="500" w:lineRule="exact"/>
        <w:ind w:firstLine="562" w:firstLineChars="200"/>
        <w:jc w:val="left"/>
        <w:rPr>
          <w:rFonts w:ascii="仿宋" w:hAnsi="仿宋" w:eastAsia="仿宋"/>
          <w:b/>
          <w:i/>
          <w:color w:val="FF0000"/>
          <w:sz w:val="28"/>
          <w:szCs w:val="28"/>
        </w:rPr>
      </w:pPr>
      <w:r>
        <w:rPr>
          <w:rFonts w:hint="eastAsia" w:ascii="仿宋" w:hAnsi="仿宋" w:eastAsia="仿宋"/>
          <w:b/>
          <w:i/>
          <w:color w:val="FF0000"/>
          <w:sz w:val="28"/>
          <w:szCs w:val="28"/>
        </w:rPr>
        <w:t>方式：执行蒙牛集团电子采购招标平台线上采购招标流程</w:t>
      </w:r>
    </w:p>
    <w:p w14:paraId="53D8A810">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潜在竞谈人依据资格要求自主评估，符合条件的进行网上报名及资格验证，蒙牛集团电子采购招标平台网址：</w:t>
      </w:r>
    </w:p>
    <w:p w14:paraId="2F6597D4">
      <w:pPr>
        <w:spacing w:line="500" w:lineRule="exact"/>
        <w:ind w:firstLine="420" w:firstLineChars="200"/>
        <w:jc w:val="left"/>
        <w:rPr>
          <w:rStyle w:val="9"/>
          <w:sz w:val="32"/>
        </w:rPr>
      </w:pPr>
      <w:r>
        <w:fldChar w:fldCharType="begin"/>
      </w:r>
      <w:r>
        <w:instrText xml:space="preserve"> HYPERLINK "https://zbcg.mengniu.cn/" \l "/home" \t "_blank" </w:instrText>
      </w:r>
      <w:r>
        <w:fldChar w:fldCharType="separate"/>
      </w:r>
      <w:r>
        <w:rPr>
          <w:rStyle w:val="9"/>
          <w:rFonts w:hint="eastAsia" w:ascii="仿宋_GB2312" w:hAnsi="宋体" w:eastAsia="仿宋_GB2312"/>
          <w:sz w:val="30"/>
          <w:szCs w:val="30"/>
        </w:rPr>
        <w:t>https://zbcg.mengniu.cn/#/home</w:t>
      </w:r>
      <w:r>
        <w:rPr>
          <w:rStyle w:val="9"/>
          <w:rFonts w:hint="eastAsia" w:ascii="仿宋_GB2312" w:hAnsi="宋体" w:eastAsia="仿宋_GB2312"/>
          <w:sz w:val="30"/>
          <w:szCs w:val="30"/>
        </w:rPr>
        <w:fldChar w:fldCharType="end"/>
      </w:r>
    </w:p>
    <w:p w14:paraId="04F229EC">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FF0000"/>
          <w:sz w:val="30"/>
          <w:szCs w:val="30"/>
        </w:rPr>
        <w:t>请先阅读服务手册，平台服务支持电话为010-21362559。</w:t>
      </w:r>
    </w:p>
    <w:p w14:paraId="401AD4EA">
      <w:pPr>
        <w:spacing w:line="500" w:lineRule="exact"/>
        <w:ind w:firstLine="602" w:firstLineChars="200"/>
        <w:jc w:val="left"/>
        <w:rPr>
          <w:rFonts w:ascii="仿宋_GB2312" w:hAnsi="宋体" w:eastAsia="仿宋_GB2312"/>
          <w:b/>
          <w:i/>
          <w:color w:val="FF0000"/>
          <w:sz w:val="30"/>
          <w:szCs w:val="30"/>
        </w:rPr>
      </w:pPr>
      <w:r>
        <w:rPr>
          <w:rFonts w:hint="eastAsia" w:ascii="仿宋_GB2312" w:hAnsi="宋体" w:eastAsia="仿宋_GB2312"/>
          <w:b/>
          <w:i/>
          <w:color w:val="FF0000"/>
          <w:sz w:val="30"/>
          <w:szCs w:val="30"/>
        </w:rPr>
        <w:t>或：登录蒙牛供应商关系管理平台报名</w:t>
      </w:r>
    </w:p>
    <w:p w14:paraId="17D988BC">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潜在竞谈人依据资格要求自主评估，符合条件的进行网上报名及资格验证，蒙牛集团供应链关系管理平台网址：</w:t>
      </w:r>
      <w:r>
        <w:fldChar w:fldCharType="begin"/>
      </w:r>
      <w:r>
        <w:instrText xml:space="preserve"> HYPERLINK "https://srm.mengniu.cn/sap/bc/webdynpro/sap/zregistration" </w:instrText>
      </w:r>
      <w:r>
        <w:fldChar w:fldCharType="separate"/>
      </w:r>
      <w:r>
        <w:rPr>
          <w:rStyle w:val="9"/>
          <w:rFonts w:hint="eastAsia" w:ascii="仿宋_GB2312" w:hAnsi="宋体" w:eastAsia="仿宋_GB2312"/>
          <w:sz w:val="30"/>
          <w:szCs w:val="30"/>
        </w:rPr>
        <w:t>https://srm.mengniu.cn/sap/bc/webdynpro/sap/zregistration</w:t>
      </w:r>
      <w:r>
        <w:rPr>
          <w:rStyle w:val="9"/>
          <w:rFonts w:hint="eastAsia" w:ascii="仿宋_GB2312" w:hAnsi="宋体" w:eastAsia="仿宋_GB2312"/>
          <w:sz w:val="30"/>
          <w:szCs w:val="30"/>
        </w:rPr>
        <w:fldChar w:fldCharType="end"/>
      </w:r>
    </w:p>
    <w:p w14:paraId="5B6254FF">
      <w:pPr>
        <w:spacing w:line="500" w:lineRule="exact"/>
        <w:ind w:firstLine="600" w:firstLineChars="200"/>
        <w:jc w:val="left"/>
        <w:rPr>
          <w:rFonts w:hint="eastAsia" w:ascii="仿宋_GB2312" w:hAnsi="宋体" w:eastAsia="仿宋_GB2312"/>
          <w:color w:val="FF0000"/>
          <w:sz w:val="30"/>
          <w:szCs w:val="30"/>
        </w:rPr>
      </w:pPr>
      <w:r>
        <w:rPr>
          <w:rFonts w:hint="eastAsia" w:ascii="仿宋_GB2312" w:hAnsi="宋体" w:eastAsia="仿宋_GB2312"/>
          <w:color w:val="FF0000"/>
          <w:sz w:val="30"/>
          <w:szCs w:val="30"/>
        </w:rPr>
        <w:t>请先阅读服务手册，平台服务支持电话为4008108111.（竞谈方报名时须将报名资料盖章扫描上传到平台中）。</w:t>
      </w:r>
    </w:p>
    <w:p w14:paraId="093945F4">
      <w:pPr>
        <w:spacing w:line="500" w:lineRule="exact"/>
        <w:ind w:firstLine="600" w:firstLineChars="200"/>
        <w:jc w:val="left"/>
        <w:rPr>
          <w:rFonts w:hint="eastAsia" w:ascii="仿宋_GB2312" w:hAnsi="宋体" w:eastAsia="仿宋_GB2312"/>
          <w:color w:val="FF0000"/>
          <w:sz w:val="30"/>
          <w:szCs w:val="30"/>
        </w:rPr>
      </w:pPr>
      <w:r>
        <w:rPr>
          <w:rFonts w:hint="eastAsia" w:ascii="仿宋_GB2312" w:hAnsi="宋体" w:eastAsia="仿宋_GB2312"/>
          <w:color w:val="FF0000"/>
          <w:sz w:val="30"/>
          <w:szCs w:val="30"/>
        </w:rPr>
        <w:t>已注册且拥有蒙牛集团相关代码或主数据可以忽略此项。</w:t>
      </w:r>
    </w:p>
    <w:p w14:paraId="5A0E5178">
      <w:pPr>
        <w:spacing w:line="500" w:lineRule="exact"/>
        <w:ind w:firstLine="562" w:firstLineChars="200"/>
        <w:jc w:val="left"/>
        <w:rPr>
          <w:rFonts w:ascii="仿宋_GB2312" w:hAnsi="宋体" w:eastAsia="仿宋_GB2312"/>
          <w:b/>
          <w:i/>
          <w:color w:val="FF0000"/>
          <w:sz w:val="28"/>
          <w:szCs w:val="28"/>
        </w:rPr>
      </w:pPr>
    </w:p>
    <w:p w14:paraId="561B8B50">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14:paraId="1E590A42">
      <w:pPr>
        <w:ind w:firstLine="560" w:firstLineChars="200"/>
        <w:rPr>
          <w:rFonts w:ascii="仿宋" w:hAnsi="仿宋" w:eastAsia="仿宋" w:cs="仿宋"/>
          <w:color w:val="FF0000"/>
          <w:sz w:val="28"/>
          <w:szCs w:val="28"/>
        </w:rPr>
      </w:pPr>
      <w:r>
        <w:rPr>
          <w:rFonts w:hint="eastAsia" w:ascii="仿宋_GB2312" w:hAnsi="宋体" w:eastAsia="仿宋_GB2312"/>
          <w:color w:val="FF0000"/>
          <w:sz w:val="28"/>
          <w:szCs w:val="28"/>
        </w:rPr>
        <w:t>1、</w:t>
      </w:r>
      <w:r>
        <w:rPr>
          <w:rFonts w:hint="eastAsia" w:ascii="仿宋" w:hAnsi="仿宋" w:eastAsia="仿宋" w:cs="仿宋"/>
          <w:color w:val="FF0000"/>
          <w:sz w:val="28"/>
          <w:szCs w:val="28"/>
        </w:rPr>
        <w:t>有效的营业执照（副本）、组织机构代码证（副本）、税务登记证（副本）（注:以上三项或三证合一营业执照副本），有效的开户行许可证；</w:t>
      </w:r>
    </w:p>
    <w:p w14:paraId="044BB711">
      <w:pPr>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_GB2312" w:hAnsi="宋体" w:eastAsia="仿宋_GB2312"/>
          <w:color w:val="000000"/>
          <w:sz w:val="28"/>
          <w:szCs w:val="28"/>
        </w:rPr>
        <w:t>能开具</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6%、13% </w:t>
      </w:r>
      <w:r>
        <w:rPr>
          <w:rFonts w:hint="eastAsia" w:ascii="仿宋_GB2312" w:hAnsi="宋体" w:eastAsia="仿宋_GB2312"/>
          <w:color w:val="000000"/>
          <w:sz w:val="28"/>
          <w:szCs w:val="28"/>
        </w:rPr>
        <w:t>增值税发票的资格，</w:t>
      </w:r>
      <w:r>
        <w:rPr>
          <w:rFonts w:hint="eastAsia" w:ascii="仿宋" w:hAnsi="仿宋" w:eastAsia="仿宋" w:cs="仿宋"/>
          <w:sz w:val="28"/>
          <w:szCs w:val="28"/>
        </w:rPr>
        <w:t>提供一般纳税人认定资格证明材料；</w:t>
      </w:r>
      <w:r>
        <w:rPr>
          <w:rFonts w:ascii="仿宋" w:hAnsi="仿宋" w:eastAsia="仿宋" w:cs="仿宋"/>
          <w:sz w:val="28"/>
          <w:szCs w:val="28"/>
        </w:rPr>
        <w:t xml:space="preserve"> </w:t>
      </w:r>
    </w:p>
    <w:p w14:paraId="07B79A03">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提供本企业近</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三</w:t>
      </w:r>
      <w:r>
        <w:rPr>
          <w:rFonts w:ascii="仿宋" w:hAnsi="仿宋" w:eastAsia="仿宋" w:cs="仿宋"/>
          <w:sz w:val="28"/>
          <w:szCs w:val="28"/>
          <w:u w:val="single"/>
        </w:rPr>
        <w:t xml:space="preserve"> </w:t>
      </w:r>
      <w:r>
        <w:rPr>
          <w:rFonts w:hint="eastAsia" w:ascii="仿宋" w:hAnsi="仿宋" w:eastAsia="仿宋" w:cs="仿宋"/>
          <w:sz w:val="28"/>
          <w:szCs w:val="28"/>
        </w:rPr>
        <w:t>年财务报表或第三方财务审计报告；</w:t>
      </w:r>
    </w:p>
    <w:p w14:paraId="68DD73C1">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4、法定代表人证明书或授权委托书原件；</w:t>
      </w:r>
    </w:p>
    <w:p w14:paraId="4C76ED01">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备注：如果法定代表人报名，请附法定代表人身份证明书（或证明）及身份证原件，如果被授权委托人报名，请附授权委托书原件及身份证原件</w:t>
      </w:r>
      <w:r>
        <w:rPr>
          <w:rFonts w:ascii="仿宋_GB2312" w:hAnsi="宋体" w:eastAsia="仿宋_GB2312"/>
          <w:color w:val="000000"/>
          <w:sz w:val="28"/>
          <w:szCs w:val="28"/>
        </w:rPr>
        <w:t>，</w:t>
      </w:r>
      <w:r>
        <w:rPr>
          <w:rFonts w:hint="eastAsia" w:ascii="仿宋" w:hAnsi="仿宋" w:eastAsia="仿宋" w:cs="仿宋"/>
          <w:sz w:val="28"/>
          <w:szCs w:val="28"/>
        </w:rPr>
        <w:t>另外，需提供被授权委托人在本单位近</w:t>
      </w:r>
      <w:r>
        <w:rPr>
          <w:rFonts w:hint="eastAsia" w:ascii="仿宋" w:hAnsi="仿宋" w:eastAsia="仿宋" w:cs="仿宋"/>
          <w:color w:val="FF0000"/>
          <w:sz w:val="28"/>
          <w:szCs w:val="28"/>
        </w:rPr>
        <w:t>一年</w:t>
      </w:r>
      <w:r>
        <w:rPr>
          <w:rFonts w:hint="eastAsia" w:ascii="仿宋" w:hAnsi="仿宋" w:eastAsia="仿宋" w:cs="仿宋"/>
          <w:sz w:val="28"/>
          <w:szCs w:val="28"/>
        </w:rPr>
        <w:t>社保缴纳的证明文件；</w:t>
      </w:r>
    </w:p>
    <w:p w14:paraId="78A92484">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5、企业最近1年任意3个月的依法纳税缴纳证明材料和社保缴纳证明材料；</w:t>
      </w:r>
    </w:p>
    <w:p w14:paraId="51F787AE">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6、近</w:t>
      </w:r>
      <w:r>
        <w:rPr>
          <w:rFonts w:hint="eastAsia" w:ascii="仿宋_GB2312" w:hAnsi="宋体" w:eastAsia="仿宋_GB2312"/>
          <w:color w:val="FF0000"/>
          <w:sz w:val="28"/>
          <w:szCs w:val="28"/>
          <w:u w:val="single"/>
        </w:rPr>
        <w:t xml:space="preserve"> </w:t>
      </w:r>
      <w:r>
        <w:rPr>
          <w:rFonts w:ascii="仿宋_GB2312" w:hAnsi="宋体" w:eastAsia="仿宋_GB2312"/>
          <w:color w:val="FF0000"/>
          <w:sz w:val="28"/>
          <w:szCs w:val="28"/>
          <w:u w:val="single"/>
        </w:rPr>
        <w:t xml:space="preserve"> </w:t>
      </w:r>
      <w:r>
        <w:rPr>
          <w:rFonts w:hint="eastAsia" w:ascii="仿宋_GB2312" w:hAnsi="宋体" w:eastAsia="仿宋_GB2312"/>
          <w:color w:val="FF0000"/>
          <w:sz w:val="28"/>
          <w:szCs w:val="28"/>
          <w:u w:val="single"/>
          <w:lang w:val="en-US" w:eastAsia="zh-CN"/>
        </w:rPr>
        <w:t>三</w:t>
      </w:r>
      <w:r>
        <w:rPr>
          <w:rFonts w:ascii="仿宋_GB2312" w:hAnsi="宋体" w:eastAsia="仿宋_GB2312"/>
          <w:color w:val="FF0000"/>
          <w:sz w:val="28"/>
          <w:szCs w:val="28"/>
          <w:u w:val="single"/>
        </w:rPr>
        <w:t xml:space="preserve"> </w:t>
      </w:r>
      <w:r>
        <w:rPr>
          <w:rFonts w:hint="eastAsia" w:ascii="仿宋_GB2312" w:hAnsi="宋体" w:eastAsia="仿宋_GB2312"/>
          <w:color w:val="000000"/>
          <w:sz w:val="28"/>
          <w:szCs w:val="28"/>
        </w:rPr>
        <w:t>年（20</w:t>
      </w:r>
      <w:r>
        <w:rPr>
          <w:rFonts w:hint="eastAsia" w:ascii="仿宋_GB2312" w:hAnsi="宋体" w:eastAsia="仿宋_GB2312"/>
          <w:color w:val="000000"/>
          <w:sz w:val="28"/>
          <w:szCs w:val="28"/>
          <w:lang w:val="en-US" w:eastAsia="zh-CN"/>
        </w:rPr>
        <w:t>21</w:t>
      </w:r>
      <w:r>
        <w:rPr>
          <w:rFonts w:hint="eastAsia" w:ascii="仿宋_GB2312" w:hAnsi="宋体" w:eastAsia="仿宋_GB2312"/>
          <w:color w:val="000000"/>
          <w:sz w:val="28"/>
          <w:szCs w:val="28"/>
        </w:rPr>
        <w:t>年-至今）</w:t>
      </w:r>
      <w:r>
        <w:rPr>
          <w:rFonts w:hint="eastAsia" w:ascii="仿宋_GB2312" w:hAnsi="宋体" w:eastAsia="仿宋_GB2312"/>
          <w:color w:val="000000"/>
          <w:sz w:val="28"/>
          <w:szCs w:val="28"/>
          <w:u w:val="single"/>
        </w:rPr>
        <w:t xml:space="preserve"> </w:t>
      </w:r>
      <w:r>
        <w:rPr>
          <w:rFonts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lang w:val="en-US" w:eastAsia="zh-CN"/>
        </w:rPr>
        <w:t>2</w:t>
      </w:r>
      <w:r>
        <w:rPr>
          <w:rFonts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rPr>
        <w:t>个</w:t>
      </w:r>
      <w:r>
        <w:rPr>
          <w:rFonts w:hint="eastAsia" w:ascii="仿宋_GB2312" w:hAnsi="宋体" w:eastAsia="仿宋_GB2312"/>
          <w:color w:val="000000"/>
          <w:sz w:val="28"/>
          <w:szCs w:val="28"/>
        </w:rPr>
        <w:t>以上类似项目业绩的证明材料（以合同以及订单或验收报告为准）；</w:t>
      </w:r>
    </w:p>
    <w:p w14:paraId="568EA17A">
      <w:pPr>
        <w:ind w:firstLine="565" w:firstLineChars="202"/>
        <w:rPr>
          <w:rFonts w:cs="仿宋" w:asciiTheme="minorEastAsia" w:hAnsiTheme="minorEastAsia" w:eastAsiaTheme="minorEastAsia"/>
          <w:b/>
          <w:sz w:val="28"/>
          <w:szCs w:val="28"/>
        </w:rPr>
      </w:pPr>
      <w:r>
        <w:rPr>
          <w:rFonts w:hint="eastAsia" w:ascii="仿宋_GB2312" w:hAnsi="宋体" w:eastAsia="仿宋_GB2312"/>
          <w:color w:val="FF0000"/>
          <w:sz w:val="28"/>
          <w:szCs w:val="28"/>
        </w:rPr>
        <w:t>7、保密承诺书</w:t>
      </w:r>
      <w:r>
        <w:rPr>
          <w:rFonts w:hint="eastAsia" w:ascii="仿宋_GB2312" w:hAnsi="宋体" w:eastAsia="仿宋_GB2312"/>
          <w:i/>
          <w:color w:val="FF0000"/>
          <w:sz w:val="28"/>
          <w:szCs w:val="28"/>
        </w:rPr>
        <w:t>（附件2）</w:t>
      </w:r>
      <w:r>
        <w:rPr>
          <w:rFonts w:hint="eastAsia" w:ascii="仿宋_GB2312" w:hAnsi="宋体" w:eastAsia="仿宋_GB2312"/>
          <w:color w:val="FF0000"/>
          <w:sz w:val="28"/>
          <w:szCs w:val="28"/>
        </w:rPr>
        <w:t>；</w:t>
      </w:r>
      <w:r>
        <w:rPr>
          <w:rFonts w:cs="仿宋" w:asciiTheme="minorEastAsia" w:hAnsiTheme="minorEastAsia" w:eastAsiaTheme="minorEastAsia"/>
          <w:b/>
          <w:sz w:val="28"/>
          <w:szCs w:val="28"/>
        </w:rPr>
        <w:t xml:space="preserve"> </w:t>
      </w:r>
    </w:p>
    <w:p w14:paraId="3CDAED0B">
      <w:pPr>
        <w:spacing w:line="500" w:lineRule="exact"/>
        <w:ind w:firstLine="565" w:firstLineChars="202"/>
        <w:jc w:val="left"/>
        <w:rPr>
          <w:rFonts w:ascii="仿宋_GB2312" w:hAnsi="宋体" w:eastAsia="仿宋_GB2312"/>
          <w:color w:val="FF0000"/>
          <w:sz w:val="28"/>
          <w:szCs w:val="28"/>
        </w:rPr>
      </w:pPr>
      <w:r>
        <w:rPr>
          <w:rFonts w:hint="eastAsia" w:ascii="仿宋_GB2312" w:hAnsi="宋体" w:eastAsia="仿宋_GB2312"/>
          <w:sz w:val="28"/>
          <w:szCs w:val="28"/>
          <w:lang w:val="en-US" w:eastAsia="zh-CN"/>
        </w:rPr>
        <w:t>8</w:t>
      </w:r>
      <w:r>
        <w:rPr>
          <w:rFonts w:hint="eastAsia" w:ascii="仿宋_GB2312" w:hAnsi="宋体" w:eastAsia="仿宋_GB2312"/>
          <w:sz w:val="28"/>
          <w:szCs w:val="28"/>
        </w:rPr>
        <w:t>、其他需要提供的相关专业文件材料。</w:t>
      </w:r>
    </w:p>
    <w:p w14:paraId="14CD76B5">
      <w:pPr>
        <w:ind w:firstLine="565" w:firstLineChars="202"/>
        <w:rPr>
          <w:rFonts w:ascii="仿宋_GB2312" w:hAnsi="宋体" w:eastAsia="仿宋_GB2312"/>
          <w:color w:val="000000"/>
          <w:sz w:val="28"/>
          <w:szCs w:val="28"/>
        </w:rPr>
      </w:pPr>
      <w:r>
        <w:rPr>
          <w:rFonts w:hint="eastAsia" w:ascii="仿宋_GB2312" w:hAnsi="宋体" w:eastAsia="仿宋_GB2312"/>
          <w:color w:val="000000"/>
          <w:sz w:val="28"/>
          <w:szCs w:val="28"/>
        </w:rPr>
        <w:t>以上各类证书、证明材料应为原件的扫描件加盖公章，并按以上“组成及顺序”合并在一份PDF格式文件中，于</w:t>
      </w:r>
      <w:r>
        <w:rPr>
          <w:rFonts w:hint="eastAsia" w:ascii="仿宋_GB2312" w:hAnsi="宋体" w:eastAsia="仿宋_GB2312"/>
          <w:sz w:val="28"/>
          <w:szCs w:val="28"/>
        </w:rPr>
        <w:t>资格预审截止时间前</w:t>
      </w:r>
      <w:r>
        <w:rPr>
          <w:rFonts w:hint="eastAsia" w:ascii="仿宋_GB2312" w:hAnsi="宋体" w:eastAsia="仿宋_GB2312"/>
          <w:color w:val="FF0000"/>
          <w:sz w:val="28"/>
          <w:szCs w:val="28"/>
        </w:rPr>
        <w:t>（如下）</w:t>
      </w:r>
      <w:r>
        <w:rPr>
          <w:rFonts w:hint="eastAsia" w:ascii="仿宋_GB2312" w:hAnsi="宋体" w:eastAsia="仿宋_GB2312"/>
          <w:color w:val="000000"/>
          <w:sz w:val="28"/>
          <w:szCs w:val="28"/>
        </w:rPr>
        <w:t>送到</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lang w:val="en-US" w:eastAsia="zh-CN"/>
        </w:rPr>
        <w:t>zhangli12@mengniu.cn</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电子邮箱进行审查（过期发送不予受理），邮件主题为</w:t>
      </w:r>
      <w:r>
        <w:rPr>
          <w:rFonts w:hint="eastAsia" w:ascii="仿宋" w:hAnsi="仿宋" w:eastAsia="仿宋" w:cs="仿宋"/>
          <w:b/>
          <w:bCs/>
          <w:sz w:val="28"/>
          <w:szCs w:val="28"/>
        </w:rPr>
        <w:t>“单位名称+项目名称，邮件内容写清楚报名单位的联系人和联系电话”</w:t>
      </w:r>
      <w:r>
        <w:rPr>
          <w:rFonts w:hint="eastAsia" w:ascii="仿宋_GB2312" w:hAnsi="宋体" w:eastAsia="仿宋_GB2312"/>
          <w:color w:val="000000"/>
          <w:sz w:val="28"/>
          <w:szCs w:val="28"/>
        </w:rPr>
        <w:t>，审查合格后方可领取价单文件。</w:t>
      </w:r>
    </w:p>
    <w:p w14:paraId="1055145B">
      <w:pPr>
        <w:ind w:firstLine="565" w:firstLineChars="202"/>
        <w:rPr>
          <w:rFonts w:ascii="仿宋_GB2312" w:hAnsi="宋体" w:eastAsia="仿宋_GB2312"/>
          <w:color w:val="000000"/>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资料提供不全或者未按时间要求提报的将被拒绝接收，所提供的资质业绩文件中如有虚假情况，一经发现将被取消竞争资格。</w:t>
      </w:r>
    </w:p>
    <w:p w14:paraId="10507F19">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lang w:val="en-US" w:eastAsia="zh-CN"/>
        </w:rPr>
        <w:t>10</w:t>
      </w:r>
      <w:r>
        <w:rPr>
          <w:rFonts w:hint="eastAsia" w:ascii="仿宋_GB2312" w:hAnsi="宋体" w:eastAsia="仿宋_GB2312"/>
          <w:color w:val="000000"/>
          <w:sz w:val="28"/>
          <w:szCs w:val="28"/>
        </w:rPr>
        <w:t>、开标现场需携带以上资格文件原件。</w:t>
      </w:r>
    </w:p>
    <w:p w14:paraId="39B843DA">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14:paraId="201FE06D">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12:00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31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时止；</w:t>
      </w:r>
    </w:p>
    <w:p w14:paraId="40C39B95">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31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14:paraId="1939F410">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日发放询价单。</w:t>
      </w:r>
    </w:p>
    <w:p w14:paraId="485CCF5A">
      <w:pPr>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10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时；（若有调整另行通知</w:t>
      </w:r>
      <w:r>
        <w:rPr>
          <w:rFonts w:hint="eastAsia" w:ascii="仿宋_GB2312" w:hAnsi="宋体" w:eastAsia="仿宋_GB2312"/>
          <w:sz w:val="28"/>
          <w:szCs w:val="28"/>
          <w:lang w:eastAsia="zh-CN"/>
        </w:rPr>
        <w:t>，</w:t>
      </w:r>
      <w:r>
        <w:rPr>
          <w:rFonts w:hint="eastAsia" w:ascii="仿宋_GB2312" w:hAnsi="宋体" w:eastAsia="仿宋_GB2312"/>
          <w:sz w:val="28"/>
          <w:szCs w:val="28"/>
        </w:rPr>
        <w:t>以发出的询价单为准）</w:t>
      </w:r>
    </w:p>
    <w:p w14:paraId="048E21A9">
      <w:pPr>
        <w:ind w:firstLine="562" w:firstLineChars="200"/>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辽宁省沈阳市皇姑区黄河北大街56-34号，中粮广场1号楼802室/钉钉线上</w:t>
      </w:r>
      <w:r>
        <w:rPr>
          <w:rFonts w:ascii="仿宋_GB2312" w:hAnsi="宋体" w:eastAsia="仿宋_GB2312"/>
          <w:sz w:val="28"/>
          <w:szCs w:val="28"/>
          <w:u w:val="single"/>
        </w:rPr>
        <w:t xml:space="preserve">  （</w:t>
      </w:r>
      <w:r>
        <w:rPr>
          <w:rFonts w:hint="eastAsia" w:ascii="仿宋_GB2312" w:hAnsi="宋体" w:eastAsia="仿宋_GB2312"/>
          <w:color w:val="000000"/>
          <w:sz w:val="28"/>
          <w:szCs w:val="28"/>
        </w:rPr>
        <w:t>以发出的询价单为准）</w:t>
      </w:r>
    </w:p>
    <w:p w14:paraId="66DCDBC6">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14:paraId="3EA41742">
      <w:pPr>
        <w:shd w:val="clear" w:color="auto" w:fill="FFFFFF"/>
        <w:snapToGrid w:val="0"/>
        <w:spacing w:line="360" w:lineRule="auto"/>
        <w:ind w:firstLine="562" w:firstLineChars="200"/>
        <w:jc w:val="left"/>
        <w:rPr>
          <w:rFonts w:ascii="仿宋_GB2312" w:hAnsi="宋体" w:eastAsia="仿宋_GB2312"/>
          <w:b/>
          <w:color w:val="FF0000"/>
          <w:sz w:val="28"/>
          <w:szCs w:val="28"/>
        </w:rPr>
      </w:pPr>
      <w:r>
        <w:rPr>
          <w:rFonts w:ascii="仿宋_GB2312" w:hAnsi="宋体" w:eastAsia="仿宋_GB2312"/>
          <w:b/>
          <w:color w:val="FF0000"/>
          <w:sz w:val="28"/>
          <w:szCs w:val="28"/>
        </w:rPr>
        <w:t>推荐</w:t>
      </w:r>
      <w:r>
        <w:rPr>
          <w:rFonts w:hint="eastAsia" w:ascii="仿宋_GB2312" w:hAnsi="宋体" w:eastAsia="仿宋_GB2312"/>
          <w:b/>
          <w:color w:val="FF0000"/>
          <w:sz w:val="28"/>
          <w:szCs w:val="28"/>
        </w:rPr>
        <w:t>：</w:t>
      </w:r>
    </w:p>
    <w:p w14:paraId="2F6782DA">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highlight w:val="yellow"/>
        </w:rPr>
        <w:t>蒙牛集团电子采购招标平台</w:t>
      </w:r>
      <w:r>
        <w:rPr>
          <w:rFonts w:hint="eastAsia" w:ascii="仿宋_GB2312" w:hAnsi="宋体" w:eastAsia="仿宋_GB2312"/>
          <w:color w:val="000000"/>
          <w:sz w:val="24"/>
          <w:szCs w:val="28"/>
          <w:highlight w:val="yellow"/>
        </w:rPr>
        <w:t>（</w:t>
      </w:r>
      <w:r>
        <w:fldChar w:fldCharType="begin"/>
      </w:r>
      <w:r>
        <w:instrText xml:space="preserve"> HYPERLINK "https://zbcg.mengniu.cn/" \l "/home" \t "_blank" </w:instrText>
      </w:r>
      <w:r>
        <w:fldChar w:fldCharType="separate"/>
      </w:r>
      <w:r>
        <w:rPr>
          <w:rFonts w:hint="eastAsia" w:ascii="仿宋_GB2312" w:hAnsi="宋体" w:eastAsia="仿宋_GB2312"/>
          <w:color w:val="000000"/>
          <w:sz w:val="24"/>
          <w:szCs w:val="28"/>
          <w:highlight w:val="yellow"/>
        </w:rPr>
        <w:t>https://zbcg.mengniu.cn/#/home</w:t>
      </w:r>
      <w:r>
        <w:rPr>
          <w:rFonts w:hint="eastAsia" w:ascii="仿宋_GB2312" w:hAnsi="宋体" w:eastAsia="仿宋_GB2312"/>
          <w:color w:val="000000"/>
          <w:sz w:val="24"/>
          <w:szCs w:val="28"/>
          <w:highlight w:val="yellow"/>
        </w:rPr>
        <w:fldChar w:fldCharType="end"/>
      </w:r>
      <w:r>
        <w:rPr>
          <w:rFonts w:ascii="仿宋_GB2312" w:hAnsi="宋体" w:eastAsia="仿宋_GB2312"/>
          <w:color w:val="000000"/>
          <w:sz w:val="24"/>
          <w:szCs w:val="28"/>
          <w:highlight w:val="yellow"/>
        </w:rPr>
        <w:t>)</w:t>
      </w:r>
    </w:p>
    <w:p w14:paraId="09470F48">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w:t>
      </w:r>
    </w:p>
    <w:p w14:paraId="0F3209A6">
      <w:pPr>
        <w:shd w:val="clear" w:color="auto" w:fill="FFFFFF"/>
        <w:snapToGrid w:val="0"/>
        <w:spacing w:line="360" w:lineRule="auto"/>
        <w:ind w:firstLine="560" w:firstLineChars="200"/>
        <w:jc w:val="left"/>
        <w:rPr>
          <w:rFonts w:ascii="仿宋_GB2312" w:hAnsi="宋体" w:eastAsia="仿宋_GB2312"/>
          <w:color w:val="FF0000"/>
          <w:sz w:val="28"/>
          <w:szCs w:val="28"/>
        </w:rPr>
      </w:pPr>
      <w:r>
        <w:rPr>
          <w:rFonts w:hint="eastAsia" w:ascii="仿宋_GB2312" w:hAnsi="宋体" w:eastAsia="仿宋_GB2312"/>
          <w:color w:val="000000"/>
          <w:sz w:val="28"/>
          <w:szCs w:val="28"/>
        </w:rPr>
        <w:t>蒙牛内部OA平台</w:t>
      </w:r>
    </w:p>
    <w:p w14:paraId="45D14EE1">
      <w:pPr>
        <w:shd w:val="clear" w:color="auto" w:fill="FFFFFF"/>
        <w:snapToGrid w:val="0"/>
        <w:spacing w:line="360" w:lineRule="auto"/>
        <w:ind w:firstLine="560" w:firstLineChars="200"/>
        <w:jc w:val="left"/>
        <w:rPr>
          <w:rFonts w:ascii="仿宋_GB2312" w:hAnsi="宋体" w:eastAsia="仿宋_GB2312"/>
          <w:color w:val="FF0000"/>
          <w:sz w:val="28"/>
          <w:szCs w:val="28"/>
        </w:rPr>
      </w:pPr>
      <w:r>
        <w:rPr>
          <w:rFonts w:ascii="仿宋_GB2312" w:hAnsi="宋体" w:eastAsia="仿宋_GB2312"/>
          <w:color w:val="FF0000"/>
          <w:sz w:val="28"/>
          <w:szCs w:val="28"/>
        </w:rPr>
        <w:t>或按需增加相关行业权威网</w:t>
      </w:r>
      <w:r>
        <w:rPr>
          <w:rFonts w:hint="eastAsia" w:ascii="仿宋_GB2312" w:hAnsi="宋体" w:eastAsia="仿宋_GB2312"/>
          <w:color w:val="FF0000"/>
          <w:sz w:val="28"/>
          <w:szCs w:val="28"/>
        </w:rPr>
        <w:t>站，受资源限制的项目可直接向经评估的供应渠道发出采招信息。</w:t>
      </w:r>
    </w:p>
    <w:p w14:paraId="24B1A0FD">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14:paraId="3B80DE88">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采购方：</w:t>
      </w:r>
      <w:r>
        <w:rPr>
          <w:rFonts w:hint="eastAsia" w:ascii="仿宋_GB2312" w:hAnsi="宋体" w:eastAsia="仿宋_GB2312"/>
          <w:sz w:val="28"/>
          <w:szCs w:val="28"/>
          <w:lang w:val="en-US" w:eastAsia="zh-CN"/>
        </w:rPr>
        <w:t>蒙牛乳业（天津）有限公司</w:t>
      </w:r>
    </w:p>
    <w:p w14:paraId="00A9924D">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张莉</w:t>
      </w:r>
      <w:r>
        <w:rPr>
          <w:rFonts w:ascii="仿宋_GB2312" w:hAnsi="宋体" w:eastAsia="仿宋_GB2312"/>
          <w:sz w:val="28"/>
          <w:szCs w:val="28"/>
        </w:rPr>
        <w:t xml:space="preserve">            </w:t>
      </w:r>
    </w:p>
    <w:p w14:paraId="394479A5">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17642081827</w:t>
      </w:r>
    </w:p>
    <w:p w14:paraId="73B1F7C3">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14:paraId="6DBA7AB2">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14:paraId="570991C8">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w:t>
      </w:r>
      <w:r>
        <w:rPr>
          <w:rFonts w:hint="eastAsia" w:ascii="仿宋_GB2312" w:hAnsi="宋体" w:eastAsia="仿宋_GB2312"/>
          <w:sz w:val="28"/>
          <w:szCs w:val="28"/>
          <w:lang w:val="en-US" w:eastAsia="zh-CN"/>
        </w:rPr>
        <w:t>潘宏</w:t>
      </w:r>
      <w:r>
        <w:rPr>
          <w:rFonts w:ascii="仿宋_GB2312" w:hAnsi="宋体" w:eastAsia="仿宋_GB2312"/>
          <w:sz w:val="28"/>
          <w:szCs w:val="28"/>
        </w:rPr>
        <w:t xml:space="preserve">          </w:t>
      </w:r>
    </w:p>
    <w:p w14:paraId="10B4D105">
      <w:pPr>
        <w:ind w:firstLine="560" w:firstLineChars="200"/>
        <w:rPr>
          <w:rFonts w:hint="default" w:ascii="仿宋" w:hAnsi="仿宋" w:eastAsia="仿宋"/>
          <w:sz w:val="28"/>
          <w:szCs w:val="28"/>
          <w:highlight w:val="yellow"/>
          <w:lang w:val="en-US" w:eastAsia="zh-CN"/>
        </w:rPr>
      </w:pPr>
      <w:r>
        <w:rPr>
          <w:rFonts w:hint="eastAsia" w:ascii="仿宋" w:hAnsi="仿宋" w:eastAsia="仿宋"/>
          <w:sz w:val="28"/>
          <w:szCs w:val="28"/>
          <w:highlight w:val="yellow"/>
        </w:rPr>
        <w:t>联系电话：</w:t>
      </w:r>
      <w:r>
        <w:rPr>
          <w:rFonts w:hint="eastAsia" w:ascii="仿宋" w:hAnsi="仿宋" w:eastAsia="仿宋"/>
          <w:sz w:val="28"/>
          <w:szCs w:val="28"/>
          <w:highlight w:val="yellow"/>
          <w:lang w:val="en-US" w:eastAsia="zh-CN"/>
        </w:rPr>
        <w:t>18686095595</w:t>
      </w:r>
    </w:p>
    <w:p w14:paraId="192C9033">
      <w:pPr>
        <w:ind w:firstLine="560" w:firstLineChars="200"/>
        <w:rPr>
          <w:rFonts w:hint="default" w:ascii="仿宋" w:hAnsi="仿宋" w:eastAsia="仿宋"/>
          <w:sz w:val="28"/>
          <w:szCs w:val="28"/>
          <w:lang w:val="en-US" w:eastAsia="zh-CN"/>
        </w:rPr>
      </w:pPr>
      <w:r>
        <w:rPr>
          <w:rFonts w:hint="eastAsia" w:ascii="仿宋" w:hAnsi="仿宋" w:eastAsia="仿宋"/>
          <w:color w:val="FF0000"/>
          <w:sz w:val="28"/>
          <w:szCs w:val="28"/>
          <w:highlight w:val="yellow"/>
        </w:rPr>
        <w:t>电子邮件：</w:t>
      </w:r>
      <w:r>
        <w:rPr>
          <w:rFonts w:hint="eastAsia" w:ascii="仿宋" w:hAnsi="仿宋" w:eastAsia="仿宋"/>
          <w:color w:val="FF0000"/>
          <w:sz w:val="28"/>
          <w:szCs w:val="28"/>
          <w:highlight w:val="yellow"/>
          <w:lang w:val="en-US" w:eastAsia="zh-CN"/>
        </w:rPr>
        <w:t>panhong@mengniu.cn</w:t>
      </w:r>
    </w:p>
    <w:p w14:paraId="2673797A">
      <w:pPr>
        <w:ind w:firstLine="560" w:firstLineChars="200"/>
        <w:jc w:val="left"/>
        <w:rPr>
          <w:rFonts w:ascii="仿宋" w:hAnsi="仿宋" w:eastAsia="仿宋" w:cs="仿宋"/>
          <w:sz w:val="28"/>
          <w:szCs w:val="28"/>
        </w:rPr>
      </w:pPr>
      <w:r>
        <w:rPr>
          <w:rFonts w:hint="eastAsia" w:ascii="仿宋" w:hAnsi="仿宋" w:eastAsia="仿宋"/>
          <w:color w:val="FF0000"/>
          <w:sz w:val="28"/>
          <w:szCs w:val="28"/>
          <w:highlight w:val="yellow"/>
        </w:rPr>
        <w:t>质疑/投诉服务网址</w:t>
      </w:r>
      <w:r>
        <w:rPr>
          <w:rFonts w:hint="eastAsia" w:ascii="仿宋" w:hAnsi="仿宋" w:eastAsia="仿宋"/>
          <w:color w:val="FF0000"/>
          <w:sz w:val="32"/>
          <w:szCs w:val="28"/>
          <w:highlight w:val="yellow"/>
        </w:rPr>
        <w:t>：</w:t>
      </w:r>
      <w:r>
        <w:fldChar w:fldCharType="begin"/>
      </w:r>
      <w:r>
        <w:instrText xml:space="preserve"> HYPERLINK "https://zbcg.mengniu.cn/" \l "/home" \t "_blank" </w:instrText>
      </w:r>
      <w:r>
        <w:fldChar w:fldCharType="separate"/>
      </w:r>
      <w:r>
        <w:rPr>
          <w:rStyle w:val="9"/>
          <w:rFonts w:hint="eastAsia" w:ascii="微软雅黑" w:hAnsi="微软雅黑" w:eastAsia="微软雅黑"/>
          <w:sz w:val="22"/>
          <w:szCs w:val="21"/>
          <w:highlight w:val="yellow"/>
          <w:shd w:val="clear" w:color="auto" w:fill="FFFFFF"/>
        </w:rPr>
        <w:t>https://zbcg.mengniu.cn/#/home</w:t>
      </w:r>
      <w:r>
        <w:rPr>
          <w:rStyle w:val="9"/>
          <w:rFonts w:hint="eastAsia" w:ascii="微软雅黑" w:hAnsi="微软雅黑" w:eastAsia="微软雅黑"/>
          <w:sz w:val="22"/>
          <w:szCs w:val="21"/>
          <w:highlight w:val="yellow"/>
          <w:shd w:val="clear" w:color="auto" w:fill="FFFFFF"/>
        </w:rPr>
        <w:fldChar w:fldCharType="end"/>
      </w:r>
    </w:p>
    <w:p w14:paraId="41D79F03">
      <w:pPr>
        <w:ind w:firstLine="560" w:firstLineChars="200"/>
        <w:rPr>
          <w:rFonts w:ascii="仿宋_GB2312" w:hAnsi="宋体" w:eastAsia="仿宋_GB2312"/>
          <w:sz w:val="28"/>
          <w:szCs w:val="28"/>
        </w:rPr>
      </w:pPr>
    </w:p>
    <w:p w14:paraId="05AEC87A">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14:paraId="09F745F2">
      <w:pPr>
        <w:ind w:firstLine="1416" w:firstLineChars="506"/>
        <w:jc w:val="left"/>
        <w:rPr>
          <w:rFonts w:ascii="仿宋_GB2312" w:hAnsi="宋体" w:eastAsia="仿宋_GB2312" w:cs="仿宋"/>
          <w:sz w:val="28"/>
          <w:szCs w:val="28"/>
        </w:rPr>
      </w:pPr>
      <w:r>
        <w:rPr>
          <w:rFonts w:ascii="仿宋_GB2312" w:hAnsi="宋体" w:eastAsia="仿宋_GB2312" w:cs="仿宋"/>
          <w:sz w:val="28"/>
          <w:szCs w:val="28"/>
        </w:rPr>
        <w:t>2.</w:t>
      </w:r>
      <w:r>
        <w:rPr>
          <w:rFonts w:hint="eastAsia" w:ascii="仿宋_GB2312" w:hAnsi="宋体" w:eastAsia="仿宋_GB2312" w:cs="仿宋"/>
          <w:sz w:val="30"/>
          <w:szCs w:val="30"/>
        </w:rPr>
        <w:t>保密承诺书</w:t>
      </w:r>
    </w:p>
    <w:p w14:paraId="1CA16D6A">
      <w:pPr>
        <w:ind w:firstLine="560" w:firstLineChars="200"/>
        <w:jc w:val="left"/>
        <w:rPr>
          <w:rFonts w:ascii="仿宋_GB2312" w:hAnsi="宋体" w:eastAsia="仿宋_GB2312" w:cs="仿宋"/>
          <w:sz w:val="28"/>
          <w:szCs w:val="28"/>
        </w:rPr>
      </w:pPr>
    </w:p>
    <w:p w14:paraId="524A6292">
      <w:pPr>
        <w:ind w:right="526" w:rightChars="0"/>
        <w:jc w:val="center"/>
        <w:rPr>
          <w:rFonts w:ascii="仿宋_GB2312" w:hAnsi="宋体" w:eastAsia="仿宋_GB2312" w:cs="仿宋"/>
          <w:sz w:val="30"/>
          <w:szCs w:val="30"/>
        </w:rPr>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采购方：</w:t>
      </w:r>
      <w:r>
        <w:rPr>
          <w:rFonts w:hint="eastAsia" w:ascii="仿宋_GB2312" w:hAnsi="宋体" w:eastAsia="仿宋_GB2312"/>
          <w:sz w:val="28"/>
          <w:szCs w:val="28"/>
          <w:lang w:val="en-US" w:eastAsia="zh-CN"/>
        </w:rPr>
        <w:t>蒙牛乳业（天津）有限公司</w:t>
      </w:r>
    </w:p>
    <w:p w14:paraId="401407E7">
      <w:pPr>
        <w:tabs>
          <w:tab w:val="left" w:pos="7140"/>
        </w:tabs>
        <w:wordWrap w:val="0"/>
        <w:ind w:right="1166" w:rightChars="0"/>
        <w:jc w:val="right"/>
        <w:rPr>
          <w:rFonts w:ascii="仿宋_GB2312" w:hAnsi="宋体" w:eastAsia="仿宋_GB2312" w:cs="仿宋"/>
          <w:sz w:val="28"/>
          <w:szCs w:val="28"/>
        </w:rPr>
      </w:pPr>
      <w:r>
        <w:rPr>
          <w:rFonts w:hint="eastAsia" w:ascii="仿宋_GB2312" w:hAnsi="宋体" w:eastAsia="仿宋_GB2312" w:cs="仿宋"/>
          <w:sz w:val="30"/>
          <w:szCs w:val="30"/>
          <w:lang w:val="en-US" w:eastAsia="zh-CN"/>
        </w:rPr>
        <w:t>2024</w:t>
      </w:r>
      <w:r>
        <w:rPr>
          <w:rFonts w:hint="eastAsia" w:ascii="仿宋_GB2312" w:hAnsi="宋体" w:eastAsia="仿宋_GB2312" w:cs="仿宋"/>
          <w:sz w:val="30"/>
          <w:szCs w:val="30"/>
        </w:rPr>
        <w:t>年</w:t>
      </w:r>
      <w:r>
        <w:rPr>
          <w:rFonts w:hint="eastAsia" w:ascii="仿宋_GB2312" w:hAnsi="宋体" w:eastAsia="仿宋_GB2312" w:cs="仿宋"/>
          <w:sz w:val="30"/>
          <w:szCs w:val="30"/>
          <w:lang w:val="en-US" w:eastAsia="zh-CN"/>
        </w:rPr>
        <w:t>10</w:t>
      </w:r>
      <w:r>
        <w:rPr>
          <w:rFonts w:hint="eastAsia" w:ascii="仿宋_GB2312" w:hAnsi="宋体" w:eastAsia="仿宋_GB2312" w:cs="仿宋"/>
          <w:sz w:val="30"/>
          <w:szCs w:val="30"/>
        </w:rPr>
        <w:t>月</w:t>
      </w:r>
      <w:r>
        <w:rPr>
          <w:rFonts w:hint="eastAsia" w:ascii="仿宋_GB2312" w:hAnsi="宋体" w:eastAsia="仿宋_GB2312" w:cs="仿宋"/>
          <w:sz w:val="30"/>
          <w:szCs w:val="30"/>
          <w:lang w:val="en-US" w:eastAsia="zh-CN"/>
        </w:rPr>
        <w:t>29</w:t>
      </w:r>
      <w:r>
        <w:rPr>
          <w:rFonts w:hint="eastAsia" w:ascii="仿宋_GB2312" w:hAnsi="宋体" w:eastAsia="仿宋_GB2312" w:cs="仿宋"/>
          <w:sz w:val="30"/>
          <w:szCs w:val="30"/>
        </w:rPr>
        <w:t>日</w:t>
      </w:r>
    </w:p>
    <w:p w14:paraId="357A609D">
      <w:pPr>
        <w:jc w:val="left"/>
        <w:rPr>
          <w:rFonts w:hint="eastAsia" w:ascii="仿宋_GB2312" w:hAnsi="宋体" w:eastAsia="仿宋_GB2312" w:cs="仿宋"/>
          <w:sz w:val="28"/>
          <w:szCs w:val="28"/>
        </w:rPr>
      </w:pPr>
    </w:p>
    <w:p w14:paraId="7E04C5F0">
      <w:pPr>
        <w:jc w:val="left"/>
        <w:rPr>
          <w:rFonts w:hint="eastAsia" w:ascii="仿宋_GB2312" w:hAnsi="宋体" w:eastAsia="仿宋_GB2312" w:cs="仿宋"/>
          <w:sz w:val="28"/>
          <w:szCs w:val="28"/>
        </w:rPr>
      </w:pPr>
    </w:p>
    <w:p w14:paraId="42A1585A">
      <w:pPr>
        <w:jc w:val="left"/>
        <w:rPr>
          <w:rFonts w:hint="eastAsia" w:ascii="仿宋_GB2312" w:hAnsi="宋体" w:eastAsia="仿宋_GB2312" w:cs="仿宋"/>
          <w:sz w:val="28"/>
          <w:szCs w:val="28"/>
        </w:rPr>
      </w:pPr>
    </w:p>
    <w:p w14:paraId="1DF6DA4E">
      <w:pPr>
        <w:jc w:val="left"/>
        <w:rPr>
          <w:rFonts w:hint="eastAsia" w:ascii="仿宋_GB2312" w:hAnsi="宋体" w:eastAsia="仿宋_GB2312" w:cs="仿宋"/>
          <w:sz w:val="28"/>
          <w:szCs w:val="28"/>
        </w:rPr>
      </w:pPr>
    </w:p>
    <w:p w14:paraId="1C16C26B">
      <w:pPr>
        <w:jc w:val="left"/>
        <w:rPr>
          <w:rFonts w:hint="eastAsia" w:ascii="仿宋_GB2312" w:hAnsi="宋体" w:eastAsia="仿宋_GB2312" w:cs="仿宋"/>
          <w:sz w:val="28"/>
          <w:szCs w:val="28"/>
        </w:rPr>
      </w:pPr>
    </w:p>
    <w:p w14:paraId="44EBD47B">
      <w:pPr>
        <w:jc w:val="left"/>
        <w:rPr>
          <w:rFonts w:hint="eastAsia" w:ascii="仿宋_GB2312" w:hAnsi="宋体" w:eastAsia="仿宋_GB2312" w:cs="仿宋"/>
          <w:sz w:val="28"/>
          <w:szCs w:val="28"/>
        </w:rPr>
      </w:pPr>
    </w:p>
    <w:p w14:paraId="5C3F8943">
      <w:pPr>
        <w:jc w:val="left"/>
        <w:rPr>
          <w:rFonts w:hint="eastAsia" w:ascii="仿宋_GB2312" w:hAnsi="宋体" w:eastAsia="仿宋_GB2312" w:cs="仿宋"/>
          <w:sz w:val="28"/>
          <w:szCs w:val="28"/>
        </w:rPr>
      </w:pPr>
    </w:p>
    <w:p w14:paraId="221C06C3">
      <w:pPr>
        <w:jc w:val="left"/>
        <w:rPr>
          <w:rFonts w:hint="eastAsia" w:ascii="仿宋_GB2312" w:hAnsi="宋体" w:eastAsia="仿宋_GB2312" w:cs="仿宋"/>
          <w:sz w:val="28"/>
          <w:szCs w:val="28"/>
        </w:rPr>
      </w:pPr>
    </w:p>
    <w:p w14:paraId="5D3AA11E">
      <w:pPr>
        <w:jc w:val="left"/>
        <w:rPr>
          <w:rFonts w:ascii="仿宋_GB2312" w:hAnsi="宋体" w:eastAsia="仿宋_GB2312" w:cs="仿宋"/>
          <w:sz w:val="28"/>
          <w:szCs w:val="28"/>
        </w:rPr>
      </w:pPr>
      <w:r>
        <w:rPr>
          <w:rFonts w:hint="eastAsia" w:ascii="仿宋_GB2312" w:hAnsi="宋体" w:eastAsia="仿宋_GB2312" w:cs="仿宋"/>
          <w:sz w:val="28"/>
          <w:szCs w:val="28"/>
        </w:rPr>
        <w:t>附件1：</w:t>
      </w:r>
    </w:p>
    <w:p w14:paraId="425C594B">
      <w:pPr>
        <w:jc w:val="center"/>
        <w:rPr>
          <w:rFonts w:cs="仿宋" w:asciiTheme="minorEastAsia" w:hAnsiTheme="minorEastAsia" w:eastAsiaTheme="minorEastAsia"/>
          <w:b/>
          <w:sz w:val="28"/>
          <w:szCs w:val="28"/>
        </w:rPr>
      </w:pPr>
    </w:p>
    <w:p w14:paraId="1EEABA46">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14:paraId="074FFBC4">
      <w:pPr>
        <w:jc w:val="center"/>
        <w:rPr>
          <w:rFonts w:cs="仿宋" w:asciiTheme="minorEastAsia" w:hAnsiTheme="minorEastAsia" w:eastAsiaTheme="minorEastAsia"/>
          <w:b/>
          <w:sz w:val="10"/>
          <w:szCs w:val="10"/>
        </w:rPr>
      </w:pPr>
    </w:p>
    <w:tbl>
      <w:tblPr>
        <w:tblStyle w:val="7"/>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56626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151A8E3C">
            <w:pPr>
              <w:jc w:val="center"/>
              <w:rPr>
                <w:rFonts w:ascii="宋体" w:hAnsi="宋体" w:cs="仿宋"/>
                <w:b/>
                <w:szCs w:val="21"/>
              </w:rPr>
            </w:pPr>
            <w:r>
              <w:rPr>
                <w:rFonts w:hint="eastAsia" w:ascii="宋体" w:hAnsi="宋体" w:cs="仿宋"/>
                <w:b/>
                <w:szCs w:val="21"/>
              </w:rPr>
              <w:t>序号</w:t>
            </w:r>
          </w:p>
        </w:tc>
        <w:tc>
          <w:tcPr>
            <w:tcW w:w="2399" w:type="dxa"/>
            <w:vAlign w:val="center"/>
          </w:tcPr>
          <w:p w14:paraId="2F8405B2">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14:paraId="61BCBEC2">
            <w:pPr>
              <w:jc w:val="center"/>
              <w:rPr>
                <w:rFonts w:ascii="宋体" w:hAnsi="宋体" w:cs="仿宋"/>
                <w:b/>
                <w:szCs w:val="21"/>
              </w:rPr>
            </w:pPr>
            <w:r>
              <w:rPr>
                <w:rFonts w:hint="eastAsia" w:ascii="宋体" w:hAnsi="宋体" w:cs="仿宋"/>
                <w:b/>
                <w:szCs w:val="21"/>
              </w:rPr>
              <w:t>标段</w:t>
            </w:r>
          </w:p>
        </w:tc>
        <w:tc>
          <w:tcPr>
            <w:tcW w:w="1538" w:type="dxa"/>
            <w:vAlign w:val="center"/>
          </w:tcPr>
          <w:p w14:paraId="0091C056">
            <w:pPr>
              <w:jc w:val="center"/>
              <w:rPr>
                <w:rFonts w:ascii="宋体" w:hAnsi="宋体" w:cs="仿宋"/>
                <w:b/>
                <w:szCs w:val="21"/>
              </w:rPr>
            </w:pPr>
            <w:r>
              <w:rPr>
                <w:rFonts w:hint="eastAsia" w:ascii="宋体" w:hAnsi="宋体" w:cs="仿宋"/>
                <w:b/>
                <w:szCs w:val="21"/>
              </w:rPr>
              <w:t>联系人</w:t>
            </w:r>
          </w:p>
        </w:tc>
        <w:tc>
          <w:tcPr>
            <w:tcW w:w="1713" w:type="dxa"/>
            <w:vAlign w:val="center"/>
          </w:tcPr>
          <w:p w14:paraId="413A902D">
            <w:pPr>
              <w:jc w:val="center"/>
              <w:rPr>
                <w:rFonts w:ascii="宋体" w:hAnsi="宋体" w:cs="仿宋"/>
                <w:b/>
                <w:szCs w:val="21"/>
              </w:rPr>
            </w:pPr>
            <w:r>
              <w:rPr>
                <w:rFonts w:hint="eastAsia" w:ascii="宋体" w:hAnsi="宋体" w:cs="仿宋"/>
                <w:b/>
                <w:szCs w:val="21"/>
              </w:rPr>
              <w:t>联系电话</w:t>
            </w:r>
          </w:p>
        </w:tc>
        <w:tc>
          <w:tcPr>
            <w:tcW w:w="1856" w:type="dxa"/>
            <w:vAlign w:val="center"/>
          </w:tcPr>
          <w:p w14:paraId="0058D521">
            <w:pPr>
              <w:jc w:val="center"/>
              <w:rPr>
                <w:rFonts w:ascii="宋体" w:hAnsi="宋体" w:cs="仿宋"/>
                <w:b/>
                <w:szCs w:val="21"/>
              </w:rPr>
            </w:pPr>
            <w:r>
              <w:rPr>
                <w:rFonts w:hint="eastAsia" w:ascii="宋体" w:hAnsi="宋体" w:cs="仿宋"/>
                <w:b/>
                <w:szCs w:val="21"/>
              </w:rPr>
              <w:t>邮箱地址</w:t>
            </w:r>
          </w:p>
        </w:tc>
      </w:tr>
      <w:tr w14:paraId="6F0D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65ED744B">
            <w:pPr>
              <w:ind w:firstLine="420" w:firstLineChars="200"/>
              <w:jc w:val="left"/>
              <w:rPr>
                <w:rFonts w:ascii="宋体" w:hAnsi="宋体" w:cs="仿宋"/>
                <w:szCs w:val="21"/>
              </w:rPr>
            </w:pPr>
          </w:p>
        </w:tc>
        <w:tc>
          <w:tcPr>
            <w:tcW w:w="2399" w:type="dxa"/>
          </w:tcPr>
          <w:p w14:paraId="44223A01">
            <w:pPr>
              <w:ind w:firstLine="420" w:firstLineChars="200"/>
              <w:jc w:val="left"/>
              <w:rPr>
                <w:rFonts w:ascii="宋体" w:hAnsi="宋体" w:cs="仿宋"/>
                <w:szCs w:val="21"/>
              </w:rPr>
            </w:pPr>
          </w:p>
        </w:tc>
        <w:tc>
          <w:tcPr>
            <w:tcW w:w="1630" w:type="dxa"/>
          </w:tcPr>
          <w:p w14:paraId="61EB58DC">
            <w:pPr>
              <w:ind w:firstLine="420" w:firstLineChars="200"/>
              <w:jc w:val="left"/>
              <w:rPr>
                <w:rFonts w:ascii="宋体" w:hAnsi="宋体" w:cs="仿宋"/>
                <w:szCs w:val="21"/>
              </w:rPr>
            </w:pPr>
          </w:p>
        </w:tc>
        <w:tc>
          <w:tcPr>
            <w:tcW w:w="1538" w:type="dxa"/>
          </w:tcPr>
          <w:p w14:paraId="5ABC3001">
            <w:pPr>
              <w:ind w:firstLine="420" w:firstLineChars="200"/>
              <w:jc w:val="left"/>
              <w:rPr>
                <w:rFonts w:ascii="宋体" w:hAnsi="宋体" w:cs="仿宋"/>
                <w:szCs w:val="21"/>
              </w:rPr>
            </w:pPr>
          </w:p>
        </w:tc>
        <w:tc>
          <w:tcPr>
            <w:tcW w:w="1713" w:type="dxa"/>
          </w:tcPr>
          <w:p w14:paraId="1E2FC752">
            <w:pPr>
              <w:ind w:firstLine="420" w:firstLineChars="200"/>
              <w:jc w:val="left"/>
              <w:rPr>
                <w:rFonts w:ascii="宋体" w:hAnsi="宋体" w:cs="仿宋"/>
                <w:szCs w:val="21"/>
              </w:rPr>
            </w:pPr>
          </w:p>
        </w:tc>
        <w:tc>
          <w:tcPr>
            <w:tcW w:w="1856" w:type="dxa"/>
          </w:tcPr>
          <w:p w14:paraId="6422D1B4">
            <w:pPr>
              <w:ind w:firstLine="420" w:firstLineChars="200"/>
              <w:jc w:val="left"/>
              <w:rPr>
                <w:rFonts w:ascii="宋体" w:hAnsi="宋体" w:cs="仿宋"/>
                <w:szCs w:val="21"/>
              </w:rPr>
            </w:pPr>
          </w:p>
        </w:tc>
      </w:tr>
      <w:tr w14:paraId="6FEC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45060782">
            <w:pPr>
              <w:ind w:firstLine="420" w:firstLineChars="200"/>
              <w:jc w:val="left"/>
              <w:rPr>
                <w:rFonts w:ascii="宋体" w:hAnsi="宋体" w:cs="仿宋"/>
                <w:szCs w:val="21"/>
              </w:rPr>
            </w:pPr>
          </w:p>
        </w:tc>
        <w:tc>
          <w:tcPr>
            <w:tcW w:w="2399" w:type="dxa"/>
          </w:tcPr>
          <w:p w14:paraId="17DC5FF7">
            <w:pPr>
              <w:ind w:firstLine="420" w:firstLineChars="200"/>
              <w:jc w:val="left"/>
              <w:rPr>
                <w:rFonts w:ascii="宋体" w:hAnsi="宋体" w:cs="仿宋"/>
                <w:szCs w:val="21"/>
              </w:rPr>
            </w:pPr>
          </w:p>
        </w:tc>
        <w:tc>
          <w:tcPr>
            <w:tcW w:w="1630" w:type="dxa"/>
          </w:tcPr>
          <w:p w14:paraId="53934978">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14:paraId="04BB35F5">
            <w:pPr>
              <w:ind w:firstLine="420" w:firstLineChars="200"/>
              <w:jc w:val="left"/>
              <w:rPr>
                <w:rFonts w:ascii="宋体" w:hAnsi="宋体" w:cs="仿宋"/>
                <w:szCs w:val="21"/>
              </w:rPr>
            </w:pPr>
          </w:p>
        </w:tc>
        <w:tc>
          <w:tcPr>
            <w:tcW w:w="1713" w:type="dxa"/>
          </w:tcPr>
          <w:p w14:paraId="791ED698">
            <w:pPr>
              <w:ind w:firstLine="420" w:firstLineChars="200"/>
              <w:jc w:val="left"/>
              <w:rPr>
                <w:rFonts w:ascii="宋体" w:hAnsi="宋体" w:cs="仿宋"/>
                <w:szCs w:val="21"/>
              </w:rPr>
            </w:pPr>
          </w:p>
        </w:tc>
        <w:tc>
          <w:tcPr>
            <w:tcW w:w="1856" w:type="dxa"/>
          </w:tcPr>
          <w:p w14:paraId="0CF08014">
            <w:pPr>
              <w:ind w:firstLine="420" w:firstLineChars="200"/>
              <w:jc w:val="left"/>
              <w:rPr>
                <w:rFonts w:ascii="宋体" w:hAnsi="宋体" w:cs="仿宋"/>
                <w:szCs w:val="21"/>
              </w:rPr>
            </w:pPr>
          </w:p>
        </w:tc>
      </w:tr>
      <w:tr w14:paraId="7C1C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227EDDDF">
            <w:pPr>
              <w:ind w:firstLine="420" w:firstLineChars="200"/>
              <w:jc w:val="left"/>
              <w:rPr>
                <w:rFonts w:ascii="宋体" w:hAnsi="宋体" w:cs="仿宋"/>
                <w:szCs w:val="21"/>
              </w:rPr>
            </w:pPr>
          </w:p>
        </w:tc>
        <w:tc>
          <w:tcPr>
            <w:tcW w:w="2399" w:type="dxa"/>
          </w:tcPr>
          <w:p w14:paraId="15F1E85F">
            <w:pPr>
              <w:ind w:firstLine="420" w:firstLineChars="200"/>
              <w:jc w:val="left"/>
              <w:rPr>
                <w:rFonts w:ascii="宋体" w:hAnsi="宋体" w:cs="仿宋"/>
                <w:szCs w:val="21"/>
              </w:rPr>
            </w:pPr>
          </w:p>
        </w:tc>
        <w:tc>
          <w:tcPr>
            <w:tcW w:w="1630" w:type="dxa"/>
          </w:tcPr>
          <w:p w14:paraId="0397E7ED">
            <w:pPr>
              <w:ind w:firstLine="420" w:firstLineChars="200"/>
              <w:jc w:val="left"/>
              <w:rPr>
                <w:rFonts w:ascii="宋体" w:hAnsi="宋体" w:cs="仿宋"/>
                <w:szCs w:val="21"/>
              </w:rPr>
            </w:pPr>
          </w:p>
        </w:tc>
        <w:tc>
          <w:tcPr>
            <w:tcW w:w="1538" w:type="dxa"/>
          </w:tcPr>
          <w:p w14:paraId="76DD6218">
            <w:pPr>
              <w:ind w:firstLine="420" w:firstLineChars="200"/>
              <w:jc w:val="left"/>
              <w:rPr>
                <w:rFonts w:ascii="宋体" w:hAnsi="宋体" w:cs="仿宋"/>
                <w:szCs w:val="21"/>
              </w:rPr>
            </w:pPr>
          </w:p>
        </w:tc>
        <w:tc>
          <w:tcPr>
            <w:tcW w:w="1713" w:type="dxa"/>
          </w:tcPr>
          <w:p w14:paraId="138281FC">
            <w:pPr>
              <w:ind w:firstLine="420" w:firstLineChars="200"/>
              <w:jc w:val="left"/>
              <w:rPr>
                <w:rFonts w:ascii="宋体" w:hAnsi="宋体" w:cs="仿宋"/>
                <w:szCs w:val="21"/>
              </w:rPr>
            </w:pPr>
          </w:p>
        </w:tc>
        <w:tc>
          <w:tcPr>
            <w:tcW w:w="1856" w:type="dxa"/>
          </w:tcPr>
          <w:p w14:paraId="7F6E29A7">
            <w:pPr>
              <w:ind w:firstLine="420" w:firstLineChars="200"/>
              <w:jc w:val="left"/>
              <w:rPr>
                <w:rFonts w:ascii="宋体" w:hAnsi="宋体" w:cs="仿宋"/>
                <w:szCs w:val="21"/>
              </w:rPr>
            </w:pPr>
          </w:p>
        </w:tc>
      </w:tr>
      <w:tr w14:paraId="6B9AB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38C9D682">
            <w:pPr>
              <w:ind w:firstLine="420" w:firstLineChars="200"/>
              <w:jc w:val="left"/>
              <w:rPr>
                <w:rFonts w:ascii="宋体" w:hAnsi="宋体" w:cs="仿宋"/>
                <w:szCs w:val="21"/>
              </w:rPr>
            </w:pPr>
          </w:p>
        </w:tc>
        <w:tc>
          <w:tcPr>
            <w:tcW w:w="2399" w:type="dxa"/>
          </w:tcPr>
          <w:p w14:paraId="155E4B5B">
            <w:pPr>
              <w:ind w:firstLine="420" w:firstLineChars="200"/>
              <w:jc w:val="left"/>
              <w:rPr>
                <w:rFonts w:ascii="宋体" w:hAnsi="宋体" w:cs="仿宋"/>
                <w:szCs w:val="21"/>
              </w:rPr>
            </w:pPr>
          </w:p>
        </w:tc>
        <w:tc>
          <w:tcPr>
            <w:tcW w:w="1630" w:type="dxa"/>
          </w:tcPr>
          <w:p w14:paraId="77172220">
            <w:pPr>
              <w:ind w:firstLine="420" w:firstLineChars="200"/>
              <w:jc w:val="left"/>
              <w:rPr>
                <w:rFonts w:ascii="宋体" w:hAnsi="宋体" w:cs="仿宋"/>
                <w:szCs w:val="21"/>
              </w:rPr>
            </w:pPr>
          </w:p>
        </w:tc>
        <w:tc>
          <w:tcPr>
            <w:tcW w:w="1538" w:type="dxa"/>
          </w:tcPr>
          <w:p w14:paraId="6CF108CF">
            <w:pPr>
              <w:ind w:firstLine="420" w:firstLineChars="200"/>
              <w:jc w:val="left"/>
              <w:rPr>
                <w:rFonts w:ascii="宋体" w:hAnsi="宋体" w:cs="仿宋"/>
                <w:szCs w:val="21"/>
              </w:rPr>
            </w:pPr>
          </w:p>
        </w:tc>
        <w:tc>
          <w:tcPr>
            <w:tcW w:w="1713" w:type="dxa"/>
          </w:tcPr>
          <w:p w14:paraId="7E87A676">
            <w:pPr>
              <w:ind w:firstLine="420" w:firstLineChars="200"/>
              <w:jc w:val="left"/>
              <w:rPr>
                <w:rFonts w:ascii="宋体" w:hAnsi="宋体" w:cs="仿宋"/>
                <w:szCs w:val="21"/>
              </w:rPr>
            </w:pPr>
          </w:p>
        </w:tc>
        <w:tc>
          <w:tcPr>
            <w:tcW w:w="1856" w:type="dxa"/>
          </w:tcPr>
          <w:p w14:paraId="5D0AB759">
            <w:pPr>
              <w:ind w:firstLine="420" w:firstLineChars="200"/>
              <w:jc w:val="left"/>
              <w:rPr>
                <w:rFonts w:ascii="宋体" w:hAnsi="宋体" w:cs="仿宋"/>
                <w:szCs w:val="21"/>
              </w:rPr>
            </w:pPr>
          </w:p>
        </w:tc>
      </w:tr>
      <w:tr w14:paraId="2A07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3CBEB60F">
            <w:pPr>
              <w:ind w:firstLine="420" w:firstLineChars="200"/>
              <w:jc w:val="left"/>
              <w:rPr>
                <w:rFonts w:ascii="宋体" w:hAnsi="宋体" w:cs="仿宋"/>
                <w:szCs w:val="21"/>
              </w:rPr>
            </w:pPr>
          </w:p>
        </w:tc>
        <w:tc>
          <w:tcPr>
            <w:tcW w:w="2399" w:type="dxa"/>
          </w:tcPr>
          <w:p w14:paraId="7F395976">
            <w:pPr>
              <w:ind w:firstLine="420" w:firstLineChars="200"/>
              <w:jc w:val="left"/>
              <w:rPr>
                <w:rFonts w:ascii="宋体" w:hAnsi="宋体" w:cs="仿宋"/>
                <w:szCs w:val="21"/>
              </w:rPr>
            </w:pPr>
          </w:p>
        </w:tc>
        <w:tc>
          <w:tcPr>
            <w:tcW w:w="1630" w:type="dxa"/>
          </w:tcPr>
          <w:p w14:paraId="74B9A1FB">
            <w:pPr>
              <w:ind w:firstLine="420" w:firstLineChars="200"/>
              <w:jc w:val="left"/>
              <w:rPr>
                <w:rFonts w:ascii="宋体" w:hAnsi="宋体" w:cs="仿宋"/>
                <w:szCs w:val="21"/>
              </w:rPr>
            </w:pPr>
          </w:p>
        </w:tc>
        <w:tc>
          <w:tcPr>
            <w:tcW w:w="1538" w:type="dxa"/>
          </w:tcPr>
          <w:p w14:paraId="3216D877">
            <w:pPr>
              <w:ind w:firstLine="420" w:firstLineChars="200"/>
              <w:jc w:val="left"/>
              <w:rPr>
                <w:rFonts w:ascii="宋体" w:hAnsi="宋体" w:cs="仿宋"/>
                <w:szCs w:val="21"/>
              </w:rPr>
            </w:pPr>
          </w:p>
        </w:tc>
        <w:tc>
          <w:tcPr>
            <w:tcW w:w="1713" w:type="dxa"/>
          </w:tcPr>
          <w:p w14:paraId="7BE57AA6">
            <w:pPr>
              <w:ind w:firstLine="420" w:firstLineChars="200"/>
              <w:jc w:val="left"/>
              <w:rPr>
                <w:rFonts w:ascii="宋体" w:hAnsi="宋体" w:cs="仿宋"/>
                <w:szCs w:val="21"/>
              </w:rPr>
            </w:pPr>
          </w:p>
        </w:tc>
        <w:tc>
          <w:tcPr>
            <w:tcW w:w="1856" w:type="dxa"/>
          </w:tcPr>
          <w:p w14:paraId="7CEE2DCF">
            <w:pPr>
              <w:ind w:firstLine="420" w:firstLineChars="200"/>
              <w:jc w:val="left"/>
              <w:rPr>
                <w:rFonts w:ascii="宋体" w:hAnsi="宋体" w:cs="仿宋"/>
                <w:szCs w:val="21"/>
              </w:rPr>
            </w:pPr>
          </w:p>
        </w:tc>
      </w:tr>
    </w:tbl>
    <w:p w14:paraId="155FF7FC">
      <w:pPr>
        <w:ind w:right="640"/>
        <w:jc w:val="right"/>
        <w:rPr>
          <w:rFonts w:ascii="仿宋_GB2312" w:hAnsi="宋体" w:eastAsia="仿宋_GB2312"/>
          <w:color w:val="FF0000"/>
          <w:sz w:val="28"/>
          <w:szCs w:val="28"/>
        </w:rPr>
      </w:pPr>
    </w:p>
    <w:p w14:paraId="58CB3ADB">
      <w:pPr>
        <w:ind w:right="640"/>
        <w:jc w:val="right"/>
        <w:rPr>
          <w:rFonts w:ascii="仿宋_GB2312" w:hAnsi="宋体" w:eastAsia="仿宋_GB2312"/>
          <w:color w:val="FF0000"/>
          <w:sz w:val="28"/>
          <w:szCs w:val="28"/>
        </w:rPr>
      </w:pPr>
    </w:p>
    <w:p w14:paraId="2AEC15FB">
      <w:pPr>
        <w:ind w:right="640"/>
        <w:jc w:val="right"/>
        <w:rPr>
          <w:rFonts w:ascii="仿宋_GB2312" w:hAnsi="宋体" w:eastAsia="仿宋_GB2312"/>
          <w:color w:val="FF0000"/>
          <w:sz w:val="28"/>
          <w:szCs w:val="28"/>
        </w:rPr>
      </w:pPr>
    </w:p>
    <w:p w14:paraId="4BACC790">
      <w:pPr>
        <w:rPr>
          <w:rFonts w:hint="eastAsia" w:ascii="仿宋_GB2312" w:hAnsi="宋体" w:eastAsia="仿宋_GB2312"/>
          <w:sz w:val="28"/>
          <w:szCs w:val="28"/>
        </w:rPr>
      </w:pPr>
    </w:p>
    <w:p w14:paraId="08CA842F">
      <w:pPr>
        <w:rPr>
          <w:rFonts w:hint="eastAsia" w:ascii="仿宋_GB2312" w:hAnsi="宋体" w:eastAsia="仿宋_GB2312"/>
          <w:sz w:val="28"/>
          <w:szCs w:val="28"/>
        </w:rPr>
      </w:pPr>
    </w:p>
    <w:p w14:paraId="5DF2086D">
      <w:pPr>
        <w:rPr>
          <w:rFonts w:hint="eastAsia" w:ascii="仿宋_GB2312" w:hAnsi="宋体" w:eastAsia="仿宋_GB2312"/>
          <w:sz w:val="28"/>
          <w:szCs w:val="28"/>
        </w:rPr>
      </w:pPr>
    </w:p>
    <w:p w14:paraId="4C12BDC9">
      <w:pPr>
        <w:rPr>
          <w:rFonts w:hint="eastAsia" w:ascii="仿宋_GB2312" w:hAnsi="宋体" w:eastAsia="仿宋_GB2312"/>
          <w:sz w:val="28"/>
          <w:szCs w:val="28"/>
        </w:rPr>
      </w:pPr>
    </w:p>
    <w:p w14:paraId="10E5BCC7">
      <w:pPr>
        <w:rPr>
          <w:rFonts w:hint="eastAsia" w:ascii="仿宋_GB2312" w:hAnsi="宋体" w:eastAsia="仿宋_GB2312"/>
          <w:sz w:val="28"/>
          <w:szCs w:val="28"/>
        </w:rPr>
      </w:pPr>
    </w:p>
    <w:p w14:paraId="2C66028A">
      <w:pPr>
        <w:rPr>
          <w:rFonts w:hint="eastAsia" w:ascii="仿宋_GB2312" w:hAnsi="宋体" w:eastAsia="仿宋_GB2312"/>
          <w:sz w:val="28"/>
          <w:szCs w:val="28"/>
        </w:rPr>
      </w:pPr>
    </w:p>
    <w:p w14:paraId="02859E9F">
      <w:pPr>
        <w:rPr>
          <w:rFonts w:hint="eastAsia" w:ascii="仿宋_GB2312" w:hAnsi="宋体" w:eastAsia="仿宋_GB2312"/>
          <w:sz w:val="28"/>
          <w:szCs w:val="28"/>
        </w:rPr>
      </w:pPr>
    </w:p>
    <w:p w14:paraId="668E66EC">
      <w:pPr>
        <w:rPr>
          <w:rFonts w:hint="eastAsia" w:ascii="仿宋_GB2312" w:hAnsi="宋体" w:eastAsia="仿宋_GB2312"/>
          <w:sz w:val="28"/>
          <w:szCs w:val="28"/>
        </w:rPr>
      </w:pPr>
    </w:p>
    <w:p w14:paraId="3F2930CD">
      <w:pPr>
        <w:rPr>
          <w:rFonts w:hint="eastAsia" w:ascii="仿宋_GB2312" w:hAnsi="宋体" w:eastAsia="仿宋_GB2312"/>
          <w:sz w:val="28"/>
          <w:szCs w:val="28"/>
        </w:rPr>
      </w:pPr>
    </w:p>
    <w:p w14:paraId="44AF38BC">
      <w:pPr>
        <w:rPr>
          <w:rFonts w:ascii="仿宋_GB2312" w:hAnsi="宋体" w:eastAsia="仿宋_GB2312"/>
          <w:sz w:val="28"/>
          <w:szCs w:val="28"/>
        </w:rPr>
      </w:pPr>
      <w:r>
        <w:rPr>
          <w:rFonts w:hint="eastAsia" w:ascii="仿宋_GB2312" w:hAnsi="宋体" w:eastAsia="仿宋_GB2312"/>
          <w:sz w:val="28"/>
          <w:szCs w:val="28"/>
        </w:rPr>
        <w:t>附件2：</w:t>
      </w:r>
    </w:p>
    <w:p w14:paraId="5B12B744">
      <w:pPr>
        <w:keepNext w:val="0"/>
        <w:keepLines w:val="0"/>
        <w:pageBreakBefore w:val="0"/>
        <w:widowControl/>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b/>
          <w:kern w:val="0"/>
          <w:sz w:val="32"/>
          <w:szCs w:val="44"/>
        </w:rPr>
      </w:pPr>
      <w:r>
        <w:rPr>
          <w:rFonts w:hint="eastAsia" w:ascii="宋体" w:hAnsi="宋体" w:eastAsia="宋体" w:cs="宋体"/>
          <w:b/>
          <w:kern w:val="0"/>
          <w:sz w:val="32"/>
          <w:szCs w:val="44"/>
        </w:rPr>
        <w:t>项目保密协议</w:t>
      </w:r>
    </w:p>
    <w:p w14:paraId="54E670CA">
      <w:pPr>
        <w:keepNext w:val="0"/>
        <w:keepLines w:val="0"/>
        <w:pageBreakBefore w:val="0"/>
        <w:widowControl/>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b/>
          <w:kern w:val="0"/>
          <w:sz w:val="24"/>
          <w:szCs w:val="44"/>
        </w:rPr>
      </w:pPr>
    </w:p>
    <w:p w14:paraId="76591292">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甲方： 蒙牛乳业（天津）有限公司</w:t>
      </w:r>
    </w:p>
    <w:p w14:paraId="6D2A95DD">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highlight w:val="yellow"/>
        </w:rPr>
        <w:t>承诺方：（供应商全称）：</w:t>
      </w:r>
    </w:p>
    <w:p w14:paraId="0062A6F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双方就</w:t>
      </w:r>
      <w:r>
        <w:rPr>
          <w:rFonts w:hint="eastAsia" w:ascii="宋体" w:hAnsi="宋体" w:eastAsia="宋体" w:cs="宋体"/>
          <w:b/>
          <w:color w:val="000000"/>
          <w:szCs w:val="20"/>
          <w:highlight w:val="yellow"/>
          <w:u w:val="single"/>
        </w:rPr>
        <w:t>冰品东北大区2024-2025年客户会会务执行</w:t>
      </w:r>
      <w:r>
        <w:rPr>
          <w:rFonts w:hint="eastAsia" w:ascii="宋体" w:hAnsi="宋体" w:cs="宋体"/>
          <w:b/>
          <w:color w:val="000000"/>
          <w:szCs w:val="20"/>
          <w:highlight w:val="yellow"/>
          <w:u w:val="single"/>
          <w:lang w:val="en-US" w:eastAsia="zh-CN"/>
        </w:rPr>
        <w:t>项目</w:t>
      </w:r>
      <w:r>
        <w:rPr>
          <w:rFonts w:hint="eastAsia" w:ascii="宋体" w:hAnsi="宋体" w:eastAsia="宋体" w:cs="宋体"/>
          <w:color w:val="000000"/>
          <w:kern w:val="0"/>
          <w:sz w:val="24"/>
          <w:szCs w:val="28"/>
        </w:rPr>
        <w:t>进行合作，在双方的项目合作过程中，因为工作的特性，双方在日常工作中必然会进行大量的信息交流，双方同意就谈判协商过程中任何一方提供或对方知悉的机密信息（定义如下）的保护达成本协议。</w:t>
      </w:r>
    </w:p>
    <w:p w14:paraId="07591070">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一、定义</w:t>
      </w:r>
    </w:p>
    <w:p w14:paraId="1EBEBFB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机密信息”是指任何信息，主要为项目解决方案、流程方案、产品核心文档、数据库字典、帐套文件和公司内部规范文件等，同时也包括但不限于任何一方及其母公司、子公司、分公司、董事、股东的信息，及其他与产品、样品、产品计划、价格、工艺、技术、研究、开发、发明、服务、客户、市场、软件、硬件、设计、图纸、工程、构造信息、营销或财务相关的信息。机密信息并不包括下述信息：</w:t>
      </w:r>
    </w:p>
    <w:p w14:paraId="2516B04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（一）由接受方以书面文件证明：该等信息已于披露之前已由接受方所持有；</w:t>
      </w:r>
    </w:p>
    <w:p w14:paraId="4B8502E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（二）已公开发表或非因接受方作为或不作为的原因，已向公众披露；</w:t>
      </w:r>
    </w:p>
    <w:p w14:paraId="4DF099F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（三）已由提供方书面同意接受方公开；</w:t>
      </w:r>
    </w:p>
    <w:p w14:paraId="1F56BA7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（四）由接受方在未使用该等机密信息的情形下独立开发；</w:t>
      </w:r>
    </w:p>
    <w:p w14:paraId="2D79938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（五）接受方从第三方处合法、正当地取得，且该第三方对该等机密信息不承担保密义务。</w:t>
      </w:r>
    </w:p>
    <w:p w14:paraId="39D77722">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二、保密</w:t>
      </w:r>
    </w:p>
    <w:p w14:paraId="0664FDA5">
      <w:pPr>
        <w:pStyle w:val="5"/>
        <w:keepNext w:val="0"/>
        <w:keepLines w:val="0"/>
        <w:pageBreakBefore w:val="0"/>
        <w:kinsoku/>
        <w:wordWrap/>
        <w:overflowPunct/>
        <w:topLinePunct w:val="0"/>
        <w:autoSpaceDE/>
        <w:autoSpaceDN/>
        <w:bidi w:val="0"/>
        <w:spacing w:line="360" w:lineRule="auto"/>
        <w:ind w:left="0" w:firstLine="480" w:firstLineChars="200"/>
        <w:rPr>
          <w:rFonts w:hint="eastAsia" w:ascii="宋体" w:hAnsi="宋体" w:eastAsia="宋体" w:cs="宋体"/>
          <w:sz w:val="22"/>
          <w:szCs w:val="24"/>
        </w:rPr>
      </w:pPr>
      <w:r>
        <w:rPr>
          <w:rFonts w:hint="eastAsia" w:ascii="宋体" w:hAnsi="宋体" w:eastAsia="宋体" w:cs="宋体"/>
          <w:color w:val="000000"/>
          <w:kern w:val="0"/>
          <w:sz w:val="24"/>
          <w:szCs w:val="28"/>
        </w:rPr>
        <w:t xml:space="preserve">双方同意仅能根据本协议的目的使用另一方披露的机密信息。除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r>
        <w:rPr>
          <w:rFonts w:hint="eastAsia" w:ascii="宋体" w:hAnsi="宋体" w:eastAsia="宋体" w:cs="宋体"/>
          <w:sz w:val="22"/>
          <w:szCs w:val="24"/>
        </w:rPr>
        <w:t xml:space="preserve">  </w:t>
      </w:r>
    </w:p>
    <w:p w14:paraId="38D5773F">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三、公开</w:t>
      </w:r>
    </w:p>
    <w:p w14:paraId="70092075">
      <w:pPr>
        <w:pStyle w:val="5"/>
        <w:keepNext w:val="0"/>
        <w:keepLines w:val="0"/>
        <w:pageBreakBefore w:val="0"/>
        <w:kinsoku/>
        <w:wordWrap/>
        <w:overflowPunct/>
        <w:topLinePunct w:val="0"/>
        <w:autoSpaceDE/>
        <w:autoSpaceDN/>
        <w:bidi w:val="0"/>
        <w:spacing w:line="360" w:lineRule="auto"/>
        <w:ind w:left="239" w:leftChars="114" w:firstLine="360" w:firstLineChars="150"/>
        <w:rPr>
          <w:rFonts w:hint="eastAsia" w:ascii="宋体" w:hAnsi="宋体" w:eastAsia="宋体" w:cs="宋体"/>
          <w:sz w:val="22"/>
          <w:szCs w:val="24"/>
        </w:rPr>
      </w:pPr>
      <w:r>
        <w:rPr>
          <w:rFonts w:hint="eastAsia" w:ascii="宋体" w:hAnsi="宋体" w:eastAsia="宋体" w:cs="宋体"/>
          <w:color w:val="000000"/>
          <w:kern w:val="0"/>
          <w:sz w:val="24"/>
          <w:szCs w:val="28"/>
        </w:rPr>
        <w:t>本协议任何一方或其各自代表人员无权擅自将另一方的公司名称、商号、商标及其他名称用作广告宣传或对外公开。未经本协议另一方的事先书面同意，本协议任何一方或其各自的代表人员不得透露本协议及其相关内容，本协议第4条“强制性披露”条款所述情形除外。</w:t>
      </w:r>
      <w:r>
        <w:rPr>
          <w:rFonts w:hint="eastAsia" w:ascii="宋体" w:hAnsi="宋体" w:eastAsia="宋体" w:cs="宋体"/>
          <w:sz w:val="22"/>
          <w:szCs w:val="24"/>
        </w:rPr>
        <w:t xml:space="preserve">                                                                                                                                                               </w:t>
      </w:r>
    </w:p>
    <w:p w14:paraId="2B2E1FE6">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四、强制性披露</w:t>
      </w:r>
    </w:p>
    <w:p w14:paraId="5188EEC2">
      <w:pPr>
        <w:keepNext w:val="0"/>
        <w:keepLines w:val="0"/>
        <w:pageBreakBefore w:val="0"/>
        <w:kinsoku/>
        <w:wordWrap/>
        <w:overflowPunct/>
        <w:topLinePunct w:val="0"/>
        <w:autoSpaceDE/>
        <w:autoSpaceDN/>
        <w:bidi w:val="0"/>
        <w:spacing w:line="360" w:lineRule="auto"/>
        <w:ind w:firstLine="544" w:firstLineChars="227"/>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若因法律、法规、法令或其他合法要求，如传票等，在未取得另一方的事先书面同意的情况下，任何一方或其受委派执行协议目的或通过某种途径知悉机密信息之人员须披露另一方的机密信息时，该披露方应立即书面通知另一方，以便其能寻求保护或采取其他合理的救济。若未能取得保护令或其他救济措施，该披露方应仅披露依法应予披露的那部分机密信息，且应尽最大努力确保对该些机密信息采取可靠的保密措施。</w:t>
      </w:r>
    </w:p>
    <w:p w14:paraId="4CDA67B4">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五、返还资料</w:t>
      </w:r>
    </w:p>
    <w:p w14:paraId="0F670998">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在协议目的终止、撤消、完成、被拒绝或以其他方式解除后，根据对方的书面要求，任何一方应在项目终止后的</w:t>
      </w:r>
      <w:r>
        <w:rPr>
          <w:rFonts w:hint="eastAsia" w:ascii="宋体" w:hAnsi="宋体" w:eastAsia="宋体" w:cs="宋体"/>
          <w:color w:val="000000"/>
          <w:kern w:val="0"/>
          <w:sz w:val="24"/>
          <w:szCs w:val="28"/>
          <w:u w:val="single"/>
        </w:rPr>
        <w:t xml:space="preserve"> </w:t>
      </w:r>
      <w:r>
        <w:rPr>
          <w:rFonts w:hint="eastAsia" w:ascii="宋体" w:hAnsi="宋体" w:cs="宋体"/>
          <w:color w:val="000000"/>
          <w:kern w:val="0"/>
          <w:sz w:val="24"/>
          <w:szCs w:val="28"/>
          <w:u w:val="single"/>
          <w:lang w:val="en-US" w:eastAsia="zh-CN"/>
        </w:rPr>
        <w:t>7</w:t>
      </w:r>
      <w:r>
        <w:rPr>
          <w:rFonts w:hint="eastAsia" w:ascii="宋体" w:hAnsi="宋体" w:eastAsia="宋体" w:cs="宋体"/>
          <w:color w:val="000000"/>
          <w:kern w:val="0"/>
          <w:sz w:val="24"/>
          <w:szCs w:val="28"/>
          <w:u w:val="single"/>
        </w:rPr>
        <w:t xml:space="preserve"> </w:t>
      </w:r>
      <w:r>
        <w:rPr>
          <w:rFonts w:hint="eastAsia" w:ascii="宋体" w:hAnsi="宋体" w:eastAsia="宋体" w:cs="宋体"/>
          <w:color w:val="000000"/>
          <w:kern w:val="0"/>
          <w:sz w:val="24"/>
          <w:szCs w:val="28"/>
        </w:rPr>
        <w:t>天内销毁或归还另一方提供的所有机密信息。任何形式的机密信息，不论是电子系统记录，如计算机磁盘、光盘、硬盘或软件等或纸质记录，如分析、汇编、论文、翻译或其他由/或为任何一方准备的文件，一方应按本协议条款要求持有或根据另一方的要求自行销毁该等机密信息。</w:t>
      </w:r>
    </w:p>
    <w:p w14:paraId="7565DBFA">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六、非授权许可</w:t>
      </w:r>
    </w:p>
    <w:p w14:paraId="6C23F070">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除为查阅或使用机密信息以达成本协议目的之权利外，本协议未将专利权、版权、商业秘密或其他知识产权项下权利转让给任何一方，同时也未将任何一方的机密信息内所含或所属的权利转让给另一方。</w:t>
      </w:r>
    </w:p>
    <w:p w14:paraId="21F71F10">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七、义务限定</w:t>
      </w:r>
    </w:p>
    <w:p w14:paraId="3E7C3126">
      <w:pPr>
        <w:keepNext w:val="0"/>
        <w:keepLines w:val="0"/>
        <w:pageBreakBefore w:val="0"/>
        <w:kinsoku/>
        <w:wordWrap/>
        <w:overflowPunct/>
        <w:topLinePunct w:val="0"/>
        <w:autoSpaceDE/>
        <w:autoSpaceDN/>
        <w:bidi w:val="0"/>
        <w:spacing w:line="360" w:lineRule="auto"/>
        <w:ind w:left="1"/>
        <w:rPr>
          <w:rFonts w:hint="eastAsia" w:ascii="宋体" w:hAnsi="宋体" w:eastAsia="宋体" w:cs="宋体"/>
          <w:sz w:val="22"/>
        </w:rPr>
      </w:pPr>
      <w:r>
        <w:rPr>
          <w:rFonts w:hint="eastAsia" w:ascii="宋体" w:hAnsi="宋体" w:eastAsia="宋体" w:cs="宋体"/>
          <w:b/>
          <w:bCs/>
          <w:sz w:val="22"/>
        </w:rPr>
        <w:t xml:space="preserve">   </w:t>
      </w:r>
      <w:r>
        <w:rPr>
          <w:rFonts w:hint="eastAsia" w:ascii="宋体" w:hAnsi="宋体" w:eastAsia="宋体" w:cs="宋体"/>
          <w:color w:val="000000"/>
          <w:kern w:val="0"/>
          <w:sz w:val="24"/>
          <w:szCs w:val="28"/>
        </w:rPr>
        <w:t xml:space="preserve"> 本协议不得被视作或解释为本公司有义务向另一方提供任何信息、与另一方进行商业交易或签订任何最终协议，除非本公司决定向其提供信息或与其签订与交易有关的最终协议。</w:t>
      </w:r>
    </w:p>
    <w:p w14:paraId="33EACFFA">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八、信息准确性</w:t>
      </w:r>
    </w:p>
    <w:p w14:paraId="2FAE9867">
      <w:pPr>
        <w:keepNext w:val="0"/>
        <w:keepLines w:val="0"/>
        <w:pageBreakBefore w:val="0"/>
        <w:kinsoku/>
        <w:wordWrap/>
        <w:overflowPunct/>
        <w:topLinePunct w:val="0"/>
        <w:autoSpaceDE/>
        <w:autoSpaceDN/>
        <w:bidi w:val="0"/>
        <w:spacing w:line="360" w:lineRule="auto"/>
        <w:ind w:left="-119" w:leftChars="-266" w:hanging="440" w:hangingChars="200"/>
        <w:rPr>
          <w:rFonts w:hint="eastAsia" w:ascii="宋体" w:hAnsi="宋体" w:eastAsia="宋体" w:cs="宋体"/>
          <w:sz w:val="22"/>
        </w:rPr>
      </w:pPr>
      <w:r>
        <w:rPr>
          <w:rFonts w:hint="eastAsia" w:ascii="宋体" w:hAnsi="宋体" w:eastAsia="宋体" w:cs="宋体"/>
          <w:sz w:val="22"/>
        </w:rPr>
        <w:t xml:space="preserve">        </w:t>
      </w:r>
      <w:r>
        <w:rPr>
          <w:rFonts w:hint="eastAsia" w:ascii="宋体" w:hAnsi="宋体" w:eastAsia="宋体" w:cs="宋体"/>
          <w:color w:val="000000"/>
          <w:kern w:val="0"/>
          <w:sz w:val="24"/>
          <w:szCs w:val="28"/>
        </w:rPr>
        <w:t>本公司、子公司及分公司并未就其向另一方披露的任何机密信息的准确性、可靠性及完整性作出明示或暗示的声明或保证，且对另一方、其代表人员或其他使用该等机密信息的人员不承担任何责任。</w:t>
      </w:r>
    </w:p>
    <w:p w14:paraId="7CC26E41">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九、期限</w:t>
      </w:r>
    </w:p>
    <w:p w14:paraId="2DFE96BB">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本协议中双方之保密义务应自对方收到机密信息之日起五年内持续有效，且不因协议目的之达成而终止。</w:t>
      </w:r>
    </w:p>
    <w:p w14:paraId="18081B73">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十、其他条款</w:t>
      </w:r>
    </w:p>
    <w:p w14:paraId="36F9B07E">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（一）关于劳动者保护</w:t>
      </w:r>
    </w:p>
    <w:p w14:paraId="74778230">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乙方应遵守中国的《劳动法》、《劳动合同法》及其他相关的法津法规，包括劳动年龄、最低工资、加班、最长工时等，并提供法津规定的社会保险及福利；乙方应与员工签订劳动合同，劳动合同的订立和变更应遵循平等自愿、协商一致的原则，不得违反法律法规的规定；乙方不得使用或支持使用强迫或强制性劳动；乙方应按照法津法规的规定，为员工提供安全和健康的工作场所，并确保其可以合理获得饮用水和卫生设施、消防安全、以及充足的照明和通风等。</w:t>
      </w:r>
    </w:p>
    <w:p w14:paraId="18B92CBA">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（二）关于环境保护</w:t>
      </w:r>
    </w:p>
    <w:p w14:paraId="450AB38E">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0F3CAA04">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（三）关于知识产权保护</w:t>
      </w:r>
    </w:p>
    <w:p w14:paraId="3A3BBA7F">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乙方保证对所提供的产品或服务拥有完全自主的知识产权或得到合法授权，不存在侵害他人合法权益的情况，如与任何第三方发生争议或纠纷，乙方应及时协调解决，如因此给甲方造成影响或损害，由乙方承担赔偿责任。</w:t>
      </w:r>
    </w:p>
    <w:p w14:paraId="74574CCF">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本协议对双方及其承继人、受让人均具有约束力且保护其合法权益。本协议任一条款之无法实施并不视为该条款被放弃。</w:t>
      </w:r>
    </w:p>
    <w:p w14:paraId="1FE683F8">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十一、适用法律</w:t>
      </w:r>
    </w:p>
    <w:p w14:paraId="2FAD56CA">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本合同适用中华人民共和国法律，因本合同引起或与本合同有关的任何争议，应由双方友好协商解决，协商不成的，双方同意选择以下解决方式：</w:t>
      </w:r>
    </w:p>
    <w:p w14:paraId="25EAA0D7">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向甲方所在地有管辖权的人民法院提起诉讼。因诉讼产生的包括但不限于诉讼费、律师费、调查费、差旅费等，由败诉一方承担。</w:t>
      </w:r>
    </w:p>
    <w:p w14:paraId="6725C7D3">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十二、违约责任及救济</w:t>
      </w:r>
    </w:p>
    <w:p w14:paraId="3AC92962">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甲乙双方均理解并认可，未经对方授权而披露、使用或处理上述机密信息，从而损害对方权益，违约方应赔偿另一方及其关联公司因违约行为对其造成的直接或间接损失，包括合理的律师费用及受损一方因调查违约行为而产生的调查费用。</w:t>
      </w:r>
    </w:p>
    <w:p w14:paraId="15914058">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b/>
          <w:color w:val="000000"/>
          <w:kern w:val="0"/>
          <w:sz w:val="24"/>
          <w:szCs w:val="28"/>
        </w:rPr>
      </w:pPr>
      <w:r>
        <w:rPr>
          <w:rFonts w:hint="eastAsia" w:ascii="宋体" w:hAnsi="宋体" w:eastAsia="宋体" w:cs="宋体"/>
          <w:color w:val="000000"/>
          <w:kern w:val="0"/>
          <w:sz w:val="24"/>
          <w:szCs w:val="28"/>
        </w:rPr>
        <w:t>十三、</w:t>
      </w:r>
      <w:r>
        <w:rPr>
          <w:rFonts w:hint="eastAsia" w:ascii="宋体" w:hAnsi="宋体" w:eastAsia="宋体" w:cs="宋体"/>
          <w:b/>
          <w:color w:val="000000"/>
          <w:kern w:val="0"/>
          <w:sz w:val="24"/>
          <w:szCs w:val="28"/>
        </w:rPr>
        <w:t>此协议自签字盖章之日起生效。</w:t>
      </w:r>
    </w:p>
    <w:p w14:paraId="0A3E6154">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 xml:space="preserve">    </w:t>
      </w:r>
      <w:r>
        <w:rPr>
          <w:rFonts w:hint="eastAsia" w:ascii="宋体" w:hAnsi="宋体" w:eastAsia="宋体" w:cs="宋体"/>
          <w:color w:val="000000"/>
          <w:kern w:val="0"/>
          <w:sz w:val="24"/>
          <w:szCs w:val="28"/>
        </w:rPr>
        <w:tab/>
      </w:r>
      <w:r>
        <w:rPr>
          <w:rFonts w:hint="eastAsia" w:ascii="宋体" w:hAnsi="宋体" w:eastAsia="宋体" w:cs="宋体"/>
          <w:color w:val="000000"/>
          <w:kern w:val="0"/>
          <w:sz w:val="24"/>
          <w:szCs w:val="28"/>
        </w:rPr>
        <w:tab/>
      </w:r>
      <w:r>
        <w:rPr>
          <w:rFonts w:hint="eastAsia" w:ascii="宋体" w:hAnsi="宋体" w:eastAsia="宋体" w:cs="宋体"/>
          <w:color w:val="000000"/>
          <w:kern w:val="0"/>
          <w:sz w:val="24"/>
          <w:szCs w:val="28"/>
        </w:rPr>
        <w:t xml:space="preserve">                            </w:t>
      </w:r>
    </w:p>
    <w:p w14:paraId="35DD51A8">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承诺方：</w:t>
      </w:r>
    </w:p>
    <w:p w14:paraId="17FA1965">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代表人：</w:t>
      </w:r>
    </w:p>
    <w:p w14:paraId="031233DD">
      <w:pPr>
        <w:keepNext w:val="0"/>
        <w:keepLines w:val="0"/>
        <w:pageBreakBefore w:val="0"/>
        <w:kinsoku/>
        <w:wordWrap/>
        <w:overflowPunct/>
        <w:topLinePunct w:val="0"/>
        <w:autoSpaceDE/>
        <w:autoSpaceDN/>
        <w:bidi w:val="0"/>
        <w:spacing w:line="360" w:lineRule="auto"/>
        <w:ind w:right="1600"/>
        <w:rPr>
          <w:rFonts w:hint="eastAsia" w:ascii="宋体" w:hAnsi="宋体" w:eastAsia="宋体" w:cs="宋体"/>
          <w:sz w:val="28"/>
          <w:szCs w:val="28"/>
        </w:rPr>
      </w:pPr>
      <w:r>
        <w:rPr>
          <w:rFonts w:hint="eastAsia" w:ascii="宋体" w:hAnsi="宋体" w:eastAsia="宋体" w:cs="宋体"/>
          <w:color w:val="000000"/>
          <w:kern w:val="0"/>
          <w:sz w:val="24"/>
          <w:szCs w:val="28"/>
        </w:rPr>
        <w:t>日期：</w:t>
      </w:r>
      <w:r>
        <w:rPr>
          <w:rFonts w:hint="eastAsia" w:ascii="宋体" w:hAnsi="宋体" w:eastAsia="宋体" w:cs="宋体"/>
          <w:sz w:val="28"/>
          <w:szCs w:val="28"/>
        </w:rPr>
        <w:t>　　</w:t>
      </w:r>
    </w:p>
    <w:p w14:paraId="1D0AED6E">
      <w:pPr>
        <w:keepNext w:val="0"/>
        <w:keepLines w:val="0"/>
        <w:pageBreakBefore w:val="0"/>
        <w:kinsoku/>
        <w:wordWrap/>
        <w:overflowPunct/>
        <w:topLinePunct w:val="0"/>
        <w:autoSpaceDE/>
        <w:autoSpaceDN/>
        <w:bidi w:val="0"/>
        <w:spacing w:line="360" w:lineRule="auto"/>
        <w:rPr>
          <w:rFonts w:hint="eastAsia" w:ascii="宋体" w:hAnsi="宋体" w:eastAsia="宋体" w:cs="宋体"/>
          <w:bCs/>
          <w:color w:val="000000"/>
          <w:sz w:val="15"/>
          <w:szCs w:val="24"/>
        </w:rPr>
      </w:pPr>
    </w:p>
    <w:p w14:paraId="308EE4BF">
      <w:pPr>
        <w:rPr>
          <w:rFonts w:hint="default"/>
          <w:lang w:val="en-US" w:eastAsia="zh-CN"/>
        </w:rPr>
      </w:pPr>
    </w:p>
    <w:p w14:paraId="33D01E89">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zMjBkM2YyYmE4MWFjZmI5MjIwYzJlMDcxM2Y1MzUifQ=="/>
  </w:docVars>
  <w:rsids>
    <w:rsidRoot w:val="000F4331"/>
    <w:rsid w:val="000522AE"/>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2E005B54"/>
    <w:rsid w:val="30C2673A"/>
    <w:rsid w:val="37606B63"/>
    <w:rsid w:val="39284D80"/>
    <w:rsid w:val="3ABD1A1E"/>
    <w:rsid w:val="417A34DB"/>
    <w:rsid w:val="49205896"/>
    <w:rsid w:val="698067CB"/>
    <w:rsid w:val="730365BC"/>
    <w:rsid w:val="7CC36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360" w:lineRule="auto"/>
      <w:ind w:firstLine="420"/>
    </w:pPr>
    <w:rPr>
      <w:rFonts w:ascii="Cambria" w:hAnsi="Cambria" w:eastAsia="宋体" w:cs="Times New Roman"/>
      <w:szCs w:val="20"/>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Body Text Indent 3"/>
    <w:basedOn w:val="1"/>
    <w:qFormat/>
    <w:uiPriority w:val="0"/>
    <w:pPr>
      <w:ind w:left="720"/>
    </w:pPr>
    <w:rPr>
      <w:rFonts w:ascii="Cambria" w:hAnsi="Cambria" w:eastAsia="宋体" w:cs="Times New Roman"/>
      <w:szCs w:val="20"/>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none"/>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4316</Words>
  <Characters>4732</Characters>
  <Lines>21</Lines>
  <Paragraphs>6</Paragraphs>
  <TotalTime>157</TotalTime>
  <ScaleCrop>false</ScaleCrop>
  <LinksUpToDate>false</LinksUpToDate>
  <CharactersWithSpaces>5078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Hakuna   matata</cp:lastModifiedBy>
  <dcterms:modified xsi:type="dcterms:W3CDTF">2024-10-29T01:41:54Z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34368F50D25E454AAA0479F3720C9F1A_12</vt:lpwstr>
  </property>
</Properties>
</file>