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70E98">
      <w:pPr>
        <w:spacing w:line="500" w:lineRule="exact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蒙牛乳业鲜奶马鞍山二厂新增膜包机项目</w:t>
      </w:r>
    </w:p>
    <w:p w14:paraId="60FF1504">
      <w:pPr>
        <w:spacing w:line="500" w:lineRule="exact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评审结果公示</w:t>
      </w:r>
    </w:p>
    <w:p w14:paraId="4C1636C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蒙牛乳业鲜奶马鞍山二厂新增膜包机项目</w:t>
      </w:r>
    </w:p>
    <w:p w14:paraId="5AFE7E6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MNCGJH-20241101-0005</w:t>
      </w:r>
    </w:p>
    <w:p w14:paraId="47DA1FFE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5D98696D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0B19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97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5D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成交候选人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93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 w14:paraId="57E1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72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D0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天津华旺达自动化机械有限公司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A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 w14:paraId="46EB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1D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6C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泉州市科盛包装机械有限公司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083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5D23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74CC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第3名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F1C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杭州永创智能设备股份有限公司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B65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85A509B"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17时至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79EC5A7E">
      <w:pPr>
        <w:tabs>
          <w:tab w:val="left" w:pos="2788"/>
        </w:tabs>
        <w:spacing w:line="540" w:lineRule="exact"/>
        <w:ind w:firstLine="663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380C7823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hAnsi="华文仿宋" w:eastAsia="仿宋_GB2312" w:cs="宋体"/>
          <w:sz w:val="28"/>
          <w:szCs w:val="28"/>
        </w:rPr>
        <w:t>竞谈方认为成交结果使自己的权益受到损害的，可以在公示期内首先以书面形式向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</w:t>
      </w:r>
      <w:bookmarkStart w:id="0" w:name="_GoBack"/>
      <w:bookmarkEnd w:id="0"/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2D3598F"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 w14:paraId="729EFC3F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 w14:paraId="3C2DE25D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 w14:paraId="58B99DCC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 w14:paraId="4B5A5978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0220321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 w14:paraId="4643236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15148996062</w:t>
      </w:r>
    </w:p>
    <w:p w14:paraId="6699C880"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 w14:paraId="3E57479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 w14:paraId="70EB4AB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F3C179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A0356A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78E042E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58DBA96B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4A25F3C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4593D04C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619DD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24E9738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4AE86CC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4574A8CF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39022A7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 w14:paraId="5EDBA1CD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 w14:paraId="3298E3B5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 w14:paraId="7701DFF2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 w14:paraId="4E506F6E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 w14:paraId="3F57F7DC"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 w14:paraId="00A2197F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17" w:bottom="1985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1A05A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F005971"/>
    <w:rsid w:val="159F3A8F"/>
    <w:rsid w:val="19F647EA"/>
    <w:rsid w:val="1C4F0B9E"/>
    <w:rsid w:val="1EFE1A9D"/>
    <w:rsid w:val="22EF6712"/>
    <w:rsid w:val="2B9E5205"/>
    <w:rsid w:val="327D1DB3"/>
    <w:rsid w:val="337A7707"/>
    <w:rsid w:val="33D74C2C"/>
    <w:rsid w:val="3495473F"/>
    <w:rsid w:val="387C0980"/>
    <w:rsid w:val="462904B3"/>
    <w:rsid w:val="47A80F29"/>
    <w:rsid w:val="489A64D0"/>
    <w:rsid w:val="4C382F72"/>
    <w:rsid w:val="4CE7694A"/>
    <w:rsid w:val="52E64B11"/>
    <w:rsid w:val="564213DF"/>
    <w:rsid w:val="604A6D98"/>
    <w:rsid w:val="623C4497"/>
    <w:rsid w:val="6332031D"/>
    <w:rsid w:val="66FC40BD"/>
    <w:rsid w:val="688F3633"/>
    <w:rsid w:val="6A0E36C1"/>
    <w:rsid w:val="7DBA21D9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804</Words>
  <Characters>996</Characters>
  <Lines>6</Lines>
  <Paragraphs>1</Paragraphs>
  <TotalTime>6</TotalTime>
  <ScaleCrop>false</ScaleCrop>
  <LinksUpToDate>false</LinksUpToDate>
  <CharactersWithSpaces>1025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刘晓强</cp:lastModifiedBy>
  <dcterms:modified xsi:type="dcterms:W3CDTF">2024-11-18T08:44:03Z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19867ED10335463DA959ED2A06BDE658_12</vt:lpwstr>
  </property>
</Properties>
</file>