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055A">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蒙牛乳业冰品泰安工厂高速混料机采购项目</w:t>
      </w:r>
    </w:p>
    <w:p w14:paraId="7E22195C">
      <w:pPr>
        <w:jc w:val="center"/>
        <w:rPr>
          <w:rFonts w:hint="eastAsia" w:ascii="仿宋" w:hAnsi="仿宋" w:eastAsia="仿宋" w:cs="仿宋"/>
          <w:sz w:val="24"/>
          <w:szCs w:val="24"/>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内蒙古蒙牛乳业（集团）股份有限公司就蒙牛乳业冰品泰安工厂高速混料机采购项目</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一、项目编号：MNCGJH-20250310-0008</w:t>
      </w:r>
    </w:p>
    <w:p w14:paraId="3DF48405">
      <w:pPr>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二、项目名称：蒙牛乳业冰品泰安工厂高速混料机采购项目</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11D050A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泰安工厂需购置一台新型高速混料机，增加移动部位、清洗部件和输送部件，以缩减操作空间、提高工作效率。</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日至</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p w14:paraId="63C96CA3">
      <w:pPr>
        <w:ind w:firstLine="560" w:firstLineChars="200"/>
        <w:rPr>
          <w:rFonts w:hint="eastAsia" w:ascii="仿宋" w:hAnsi="仿宋" w:eastAsia="仿宋" w:cs="仿宋"/>
          <w:sz w:val="28"/>
          <w:szCs w:val="28"/>
        </w:rPr>
      </w:pPr>
    </w:p>
    <w:p w14:paraId="7B0E87B6">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2" w:name="_GoBack"/>
      <w:bookmarkEnd w:id="2"/>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0081A69C">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6558AE71">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9D0E8D"/>
    <w:rsid w:val="0B5C146C"/>
    <w:rsid w:val="0BEF6A57"/>
    <w:rsid w:val="10DE353E"/>
    <w:rsid w:val="13B14CCC"/>
    <w:rsid w:val="1988673C"/>
    <w:rsid w:val="19FA4AEC"/>
    <w:rsid w:val="1AA43102"/>
    <w:rsid w:val="1C2C7853"/>
    <w:rsid w:val="1F554CC2"/>
    <w:rsid w:val="21751354"/>
    <w:rsid w:val="23977412"/>
    <w:rsid w:val="24F44C86"/>
    <w:rsid w:val="26A30712"/>
    <w:rsid w:val="27750300"/>
    <w:rsid w:val="283742DF"/>
    <w:rsid w:val="28726550"/>
    <w:rsid w:val="2A5341FD"/>
    <w:rsid w:val="2DE75388"/>
    <w:rsid w:val="2E601762"/>
    <w:rsid w:val="30554C15"/>
    <w:rsid w:val="3538296D"/>
    <w:rsid w:val="354E03E2"/>
    <w:rsid w:val="36266C69"/>
    <w:rsid w:val="383513E6"/>
    <w:rsid w:val="395B44ED"/>
    <w:rsid w:val="3EAD7F28"/>
    <w:rsid w:val="40FC4125"/>
    <w:rsid w:val="423A7751"/>
    <w:rsid w:val="435670F9"/>
    <w:rsid w:val="43A63197"/>
    <w:rsid w:val="46560EA5"/>
    <w:rsid w:val="47E3383F"/>
    <w:rsid w:val="51F36142"/>
    <w:rsid w:val="531A6991"/>
    <w:rsid w:val="5495703C"/>
    <w:rsid w:val="567C389F"/>
    <w:rsid w:val="576312CA"/>
    <w:rsid w:val="5B070568"/>
    <w:rsid w:val="5C361105"/>
    <w:rsid w:val="5E257683"/>
    <w:rsid w:val="5FA97E40"/>
    <w:rsid w:val="650A1380"/>
    <w:rsid w:val="66AF0431"/>
    <w:rsid w:val="698067CB"/>
    <w:rsid w:val="6C1B5EB3"/>
    <w:rsid w:val="6CD56718"/>
    <w:rsid w:val="6D170ADE"/>
    <w:rsid w:val="6D6A4B3C"/>
    <w:rsid w:val="6D8141AA"/>
    <w:rsid w:val="6DD32C57"/>
    <w:rsid w:val="6F653D83"/>
    <w:rsid w:val="6F993A2D"/>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9488</Words>
  <Characters>9985</Characters>
  <Lines>23</Lines>
  <Paragraphs>6</Paragraphs>
  <TotalTime>1</TotalTime>
  <ScaleCrop>false</ScaleCrop>
  <LinksUpToDate>false</LinksUpToDate>
  <CharactersWithSpaces>10671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2025-03-16T13:46:32Z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