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81D16">
      <w:pPr>
        <w:widowControl/>
        <w:shd w:val="clear" w:color="auto" w:fill="FFFFFF"/>
        <w:adjustRightInd w:val="0"/>
        <w:snapToGrid w:val="0"/>
        <w:spacing w:line="360" w:lineRule="auto"/>
        <w:jc w:val="center"/>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智慧检验-2025年第一批研发实验室检验设备竞争性谈判</w:t>
      </w:r>
    </w:p>
    <w:p w14:paraId="7F7749F4">
      <w:pPr>
        <w:widowControl/>
        <w:shd w:val="clear" w:color="auto" w:fill="FFFFFF"/>
        <w:adjustRightInd w:val="0"/>
        <w:snapToGrid w:val="0"/>
        <w:spacing w:line="360" w:lineRule="auto"/>
        <w:jc w:val="center"/>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采购项目竞争性谈判信息</w:t>
      </w:r>
      <w:r>
        <w:rPr>
          <w:rFonts w:hint="eastAsia" w:ascii="仿宋" w:hAnsi="仿宋" w:eastAsia="仿宋" w:cs="仿宋"/>
          <w:b/>
          <w:bCs/>
          <w:color w:val="auto"/>
          <w:kern w:val="0"/>
          <w:sz w:val="36"/>
          <w:szCs w:val="36"/>
          <w:highlight w:val="none"/>
          <w:lang w:val="en-US" w:eastAsia="zh-CN"/>
        </w:rPr>
        <w:t>二次</w:t>
      </w:r>
      <w:bookmarkStart w:id="3" w:name="_GoBack"/>
      <w:bookmarkEnd w:id="3"/>
      <w:r>
        <w:rPr>
          <w:rFonts w:hint="eastAsia" w:ascii="仿宋" w:hAnsi="仿宋" w:eastAsia="仿宋" w:cs="仿宋"/>
          <w:b/>
          <w:bCs/>
          <w:color w:val="auto"/>
          <w:kern w:val="0"/>
          <w:sz w:val="36"/>
          <w:szCs w:val="36"/>
          <w:highlight w:val="none"/>
        </w:rPr>
        <w:t>公告</w:t>
      </w:r>
    </w:p>
    <w:p w14:paraId="12D21423">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内蒙古华晟工程项目管理有限公司受内蒙古蒙牛乳业(集团)股份有限公司委托，现就智慧检验-2025年第一批研发实验室检验设备竞争性谈判采购项目进行竞争性谈判，欢迎符合资格条件的投标人参加。</w:t>
      </w:r>
    </w:p>
    <w:p w14:paraId="3F6DC88B">
      <w:pPr>
        <w:adjustRightInd w:val="0"/>
        <w:snapToGrid w:val="0"/>
        <w:spacing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一、项目编号：MNCGJH-20250507-0018</w:t>
      </w:r>
    </w:p>
    <w:p w14:paraId="00D69EF4">
      <w:pPr>
        <w:adjustRightInd w:val="0"/>
        <w:snapToGrid w:val="0"/>
        <w:spacing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二、项目名称</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rPr>
        <w:t>智慧检验-2025年第一批研发实验室检验设备竞争性谈判采购项目</w:t>
      </w:r>
    </w:p>
    <w:p w14:paraId="69F8A0B4">
      <w:pPr>
        <w:pStyle w:val="15"/>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三、项目概况：</w:t>
      </w:r>
    </w:p>
    <w:p w14:paraId="6739E910">
      <w:pPr>
        <w:adjustRightInd w:val="0"/>
        <w:snapToGrid w:val="0"/>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采购一季度统筹收集各研发实验室检验设备需求（详见附件），经过收集符合竞争性谈判需求涉及常温研发实验室、低温研发实验室、鲜奶研发实验室。此项目分2个标段进行招标。</w:t>
      </w:r>
    </w:p>
    <w:p w14:paraId="5754EF32">
      <w:pPr>
        <w:pStyle w:val="2"/>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标段一：</w:t>
      </w:r>
    </w:p>
    <w:tbl>
      <w:tblPr>
        <w:tblStyle w:val="11"/>
        <w:tblW w:w="9713" w:type="dxa"/>
        <w:tblInd w:w="0" w:type="dxa"/>
        <w:tblLayout w:type="autofit"/>
        <w:tblCellMar>
          <w:top w:w="0" w:type="dxa"/>
          <w:left w:w="108" w:type="dxa"/>
          <w:bottom w:w="0" w:type="dxa"/>
          <w:right w:w="108" w:type="dxa"/>
        </w:tblCellMar>
      </w:tblPr>
      <w:tblGrid>
        <w:gridCol w:w="687"/>
        <w:gridCol w:w="968"/>
        <w:gridCol w:w="830"/>
        <w:gridCol w:w="1660"/>
        <w:gridCol w:w="5568"/>
      </w:tblGrid>
      <w:tr w14:paraId="666B03DB">
        <w:tblPrEx>
          <w:tblCellMar>
            <w:top w:w="0" w:type="dxa"/>
            <w:left w:w="108" w:type="dxa"/>
            <w:bottom w:w="0" w:type="dxa"/>
            <w:right w:w="108" w:type="dxa"/>
          </w:tblCellMar>
        </w:tblPrEx>
        <w:trPr>
          <w:trHeight w:val="77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1641">
            <w:pPr>
              <w:widowControl/>
              <w:jc w:val="center"/>
              <w:rPr>
                <w:rFonts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标段</w:t>
            </w:r>
          </w:p>
        </w:tc>
        <w:tc>
          <w:tcPr>
            <w:tcW w:w="968" w:type="dxa"/>
            <w:tcBorders>
              <w:top w:val="single" w:color="000000" w:sz="4" w:space="0"/>
              <w:left w:val="nil"/>
              <w:bottom w:val="single" w:color="000000" w:sz="4" w:space="0"/>
              <w:right w:val="single" w:color="000000" w:sz="4" w:space="0"/>
            </w:tcBorders>
            <w:shd w:val="clear" w:color="auto" w:fill="auto"/>
            <w:vAlign w:val="center"/>
          </w:tcPr>
          <w:p w14:paraId="750E3D2B">
            <w:pPr>
              <w:widowControl/>
              <w:jc w:val="center"/>
              <w:rPr>
                <w:rFonts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名称</w:t>
            </w:r>
          </w:p>
        </w:tc>
        <w:tc>
          <w:tcPr>
            <w:tcW w:w="830" w:type="dxa"/>
            <w:tcBorders>
              <w:top w:val="single" w:color="000000" w:sz="4" w:space="0"/>
              <w:left w:val="nil"/>
              <w:bottom w:val="single" w:color="000000" w:sz="4" w:space="0"/>
              <w:right w:val="single" w:color="000000" w:sz="4" w:space="0"/>
            </w:tcBorders>
            <w:shd w:val="clear" w:color="auto" w:fill="auto"/>
            <w:noWrap/>
            <w:vAlign w:val="center"/>
          </w:tcPr>
          <w:p w14:paraId="11931EED">
            <w:pPr>
              <w:widowControl/>
              <w:jc w:val="center"/>
              <w:rPr>
                <w:rFonts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数量</w:t>
            </w:r>
          </w:p>
        </w:tc>
        <w:tc>
          <w:tcPr>
            <w:tcW w:w="1660" w:type="dxa"/>
            <w:tcBorders>
              <w:top w:val="single" w:color="000000" w:sz="4" w:space="0"/>
              <w:left w:val="nil"/>
              <w:bottom w:val="single" w:color="000000" w:sz="4" w:space="0"/>
              <w:right w:val="single" w:color="000000" w:sz="4" w:space="0"/>
            </w:tcBorders>
            <w:shd w:val="clear" w:color="auto" w:fill="auto"/>
            <w:noWrap/>
            <w:vAlign w:val="center"/>
          </w:tcPr>
          <w:p w14:paraId="6B79A839">
            <w:pPr>
              <w:widowControl/>
              <w:jc w:val="center"/>
              <w:rPr>
                <w:rFonts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设备用途</w:t>
            </w:r>
          </w:p>
        </w:tc>
        <w:tc>
          <w:tcPr>
            <w:tcW w:w="5568" w:type="dxa"/>
            <w:tcBorders>
              <w:top w:val="single" w:color="000000" w:sz="4" w:space="0"/>
              <w:left w:val="nil"/>
              <w:bottom w:val="single" w:color="000000" w:sz="4" w:space="0"/>
              <w:right w:val="single" w:color="000000" w:sz="4" w:space="0"/>
            </w:tcBorders>
            <w:shd w:val="clear" w:color="auto" w:fill="auto"/>
            <w:noWrap/>
            <w:vAlign w:val="center"/>
          </w:tcPr>
          <w:p w14:paraId="4905ADE0">
            <w:pPr>
              <w:widowControl/>
              <w:jc w:val="center"/>
              <w:rPr>
                <w:rFonts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性能参数</w:t>
            </w:r>
          </w:p>
        </w:tc>
      </w:tr>
      <w:tr w14:paraId="52CB2F16">
        <w:tblPrEx>
          <w:tblCellMar>
            <w:top w:w="0" w:type="dxa"/>
            <w:left w:w="108" w:type="dxa"/>
            <w:bottom w:w="0" w:type="dxa"/>
            <w:right w:w="108" w:type="dxa"/>
          </w:tblCellMar>
        </w:tblPrEx>
        <w:trPr>
          <w:trHeight w:val="1022" w:hRule="atLeast"/>
        </w:trPr>
        <w:tc>
          <w:tcPr>
            <w:tcW w:w="687" w:type="dxa"/>
            <w:vMerge w:val="restart"/>
            <w:tcBorders>
              <w:top w:val="nil"/>
              <w:left w:val="single" w:color="000000" w:sz="4" w:space="0"/>
              <w:bottom w:val="single" w:color="000000" w:sz="4" w:space="0"/>
              <w:right w:val="single" w:color="000000" w:sz="4" w:space="0"/>
            </w:tcBorders>
            <w:shd w:val="clear" w:color="auto" w:fill="auto"/>
            <w:noWrap/>
            <w:vAlign w:val="center"/>
          </w:tcPr>
          <w:p w14:paraId="6BABAC1A">
            <w:pPr>
              <w:widowControl/>
              <w:jc w:val="center"/>
              <w:rPr>
                <w:rFonts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标段一</w:t>
            </w:r>
          </w:p>
        </w:tc>
        <w:tc>
          <w:tcPr>
            <w:tcW w:w="968" w:type="dxa"/>
            <w:tcBorders>
              <w:top w:val="nil"/>
              <w:left w:val="nil"/>
              <w:bottom w:val="single" w:color="000000" w:sz="4" w:space="0"/>
              <w:right w:val="single" w:color="000000" w:sz="4" w:space="0"/>
            </w:tcBorders>
            <w:shd w:val="clear" w:color="auto" w:fill="auto"/>
            <w:vAlign w:val="center"/>
          </w:tcPr>
          <w:p w14:paraId="112176ED">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料液升温降温设备</w:t>
            </w:r>
          </w:p>
        </w:tc>
        <w:tc>
          <w:tcPr>
            <w:tcW w:w="830" w:type="dxa"/>
            <w:tcBorders>
              <w:top w:val="nil"/>
              <w:left w:val="nil"/>
              <w:bottom w:val="single" w:color="000000" w:sz="4" w:space="0"/>
              <w:right w:val="single" w:color="000000" w:sz="4" w:space="0"/>
            </w:tcBorders>
            <w:shd w:val="clear" w:color="auto" w:fill="auto"/>
            <w:vAlign w:val="center"/>
          </w:tcPr>
          <w:p w14:paraId="30EF0EF9">
            <w:pPr>
              <w:widowControl/>
              <w:jc w:val="center"/>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1</w:t>
            </w:r>
          </w:p>
        </w:tc>
        <w:tc>
          <w:tcPr>
            <w:tcW w:w="1660" w:type="dxa"/>
            <w:tcBorders>
              <w:top w:val="nil"/>
              <w:left w:val="nil"/>
              <w:bottom w:val="single" w:color="000000" w:sz="4" w:space="0"/>
              <w:right w:val="single" w:color="000000" w:sz="4" w:space="0"/>
            </w:tcBorders>
            <w:shd w:val="clear" w:color="auto" w:fill="auto"/>
            <w:vAlign w:val="center"/>
          </w:tcPr>
          <w:p w14:paraId="05BBE61D">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1.中试车间热化料中试实验补充，目前升温降温速度为600L/H，影响中试效率；</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2.蛋白微粒化实验转化使用，模块化设计，可直接使用</w:t>
            </w:r>
          </w:p>
        </w:tc>
        <w:tc>
          <w:tcPr>
            <w:tcW w:w="5568" w:type="dxa"/>
            <w:tcBorders>
              <w:top w:val="nil"/>
              <w:left w:val="nil"/>
              <w:bottom w:val="single" w:color="000000" w:sz="4" w:space="0"/>
              <w:right w:val="single" w:color="000000" w:sz="4" w:space="0"/>
            </w:tcBorders>
            <w:shd w:val="clear" w:color="auto" w:fill="auto"/>
            <w:vAlign w:val="center"/>
          </w:tcPr>
          <w:p w14:paraId="3D679CCB">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1、升温板换600L/H,自动化控制，料液为配料后牛奶料液，料液粘度100mPa·s，升温要求10-120℃，温度波动±0.5℃，保证产品压力与冷热介质压差&gt;0.2bar*</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2、降温板换600L/H，自动化控制，料液粘度100mPa·s，降温要求90-5℃，出口温度波动±0.5℃,保证产品压力与冷热介质压差&gt;0.2bar，出口设置安全阀+流量计*</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3、耐驰螺杆泵供料，可变频控制流量，配套产品加压阀和管路切换气动三通阀*</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4、增强型CIP(4000L/H)清洗功能，配套生产和清洗管路自动切换气动阀*</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5、彩色触摸屏PLC控制系统，独立电箱，小型模块化设计，设备整体可移动，占地面积小于3平米*</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6、SIP工作模式：具备，操作系统上设定好参数后，SIP模式自动运行，SIP工艺完成后蜂鸣和弹出框提示*</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7、低液位报警和弹出框提示：具备*</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8、配套100L原液罐一个，SUS316L不锈钢材质</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9、系统自带电加热系统，加热和供料各单元可独立控制，独立使用；冷却用外接冰水*</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10、宽流道板片，换热板片材质SUS316L，厚度不低于0.6mm，逆流换热，板换出口入口设置温度和压力传感器*</w:t>
            </w:r>
          </w:p>
        </w:tc>
      </w:tr>
      <w:tr w14:paraId="545C27D8">
        <w:tblPrEx>
          <w:tblCellMar>
            <w:top w:w="0" w:type="dxa"/>
            <w:left w:w="108" w:type="dxa"/>
            <w:bottom w:w="0" w:type="dxa"/>
            <w:right w:w="108" w:type="dxa"/>
          </w:tblCellMar>
        </w:tblPrEx>
        <w:trPr>
          <w:trHeight w:val="2355" w:hRule="atLeast"/>
        </w:trPr>
        <w:tc>
          <w:tcPr>
            <w:tcW w:w="687" w:type="dxa"/>
            <w:vMerge w:val="continue"/>
            <w:tcBorders>
              <w:top w:val="nil"/>
              <w:left w:val="single" w:color="000000" w:sz="4" w:space="0"/>
              <w:bottom w:val="single" w:color="000000" w:sz="4" w:space="0"/>
              <w:right w:val="single" w:color="000000" w:sz="4" w:space="0"/>
            </w:tcBorders>
            <w:shd w:val="clear" w:color="auto" w:fill="auto"/>
            <w:vAlign w:val="center"/>
          </w:tcPr>
          <w:p w14:paraId="769DA870">
            <w:pPr>
              <w:widowControl/>
              <w:jc w:val="left"/>
              <w:rPr>
                <w:rFonts w:ascii="仿宋" w:hAnsi="仿宋" w:eastAsia="仿宋" w:cs="仿宋"/>
                <w:b/>
                <w:bCs/>
                <w:color w:val="auto"/>
                <w:kern w:val="0"/>
                <w:szCs w:val="28"/>
                <w:highlight w:val="none"/>
              </w:rPr>
            </w:pPr>
          </w:p>
        </w:tc>
        <w:tc>
          <w:tcPr>
            <w:tcW w:w="968" w:type="dxa"/>
            <w:tcBorders>
              <w:top w:val="nil"/>
              <w:left w:val="nil"/>
              <w:bottom w:val="single" w:color="000000" w:sz="4" w:space="0"/>
              <w:right w:val="single" w:color="000000" w:sz="4" w:space="0"/>
            </w:tcBorders>
            <w:shd w:val="clear" w:color="auto" w:fill="auto"/>
            <w:vAlign w:val="center"/>
          </w:tcPr>
          <w:p w14:paraId="31B8AA84">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压片机</w:t>
            </w:r>
          </w:p>
        </w:tc>
        <w:tc>
          <w:tcPr>
            <w:tcW w:w="830" w:type="dxa"/>
            <w:tcBorders>
              <w:top w:val="nil"/>
              <w:left w:val="nil"/>
              <w:bottom w:val="single" w:color="000000" w:sz="4" w:space="0"/>
              <w:right w:val="single" w:color="000000" w:sz="4" w:space="0"/>
            </w:tcBorders>
            <w:shd w:val="clear" w:color="auto" w:fill="auto"/>
            <w:vAlign w:val="center"/>
          </w:tcPr>
          <w:p w14:paraId="24B5DF67">
            <w:pPr>
              <w:widowControl/>
              <w:jc w:val="center"/>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1</w:t>
            </w:r>
          </w:p>
        </w:tc>
        <w:tc>
          <w:tcPr>
            <w:tcW w:w="1660" w:type="dxa"/>
            <w:tcBorders>
              <w:top w:val="nil"/>
              <w:left w:val="nil"/>
              <w:bottom w:val="single" w:color="000000" w:sz="4" w:space="0"/>
              <w:right w:val="single" w:color="000000" w:sz="4" w:space="0"/>
            </w:tcBorders>
            <w:shd w:val="clear" w:color="auto" w:fill="auto"/>
            <w:vAlign w:val="center"/>
          </w:tcPr>
          <w:p w14:paraId="2E8A1F1B">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压片糖果小试</w:t>
            </w:r>
          </w:p>
        </w:tc>
        <w:tc>
          <w:tcPr>
            <w:tcW w:w="5568" w:type="dxa"/>
            <w:tcBorders>
              <w:top w:val="nil"/>
              <w:left w:val="nil"/>
              <w:bottom w:val="single" w:color="000000" w:sz="4" w:space="0"/>
              <w:right w:val="single" w:color="000000" w:sz="4" w:space="0"/>
            </w:tcBorders>
            <w:shd w:val="clear" w:color="auto" w:fill="auto"/>
            <w:vAlign w:val="center"/>
          </w:tcPr>
          <w:p w14:paraId="6FA6985C">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最大工作压力≥60KN，越大越好*</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电压220V*</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转台冲模数≤9付</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最大压片直径4-20mm*</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最大压片厚度≤7mm</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最大充填深度≤16mm*</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粉可直压</w:t>
            </w:r>
          </w:p>
        </w:tc>
      </w:tr>
      <w:tr w14:paraId="5FB986DB">
        <w:tblPrEx>
          <w:tblCellMar>
            <w:top w:w="0" w:type="dxa"/>
            <w:left w:w="108" w:type="dxa"/>
            <w:bottom w:w="0" w:type="dxa"/>
            <w:right w:w="108" w:type="dxa"/>
          </w:tblCellMar>
        </w:tblPrEx>
        <w:trPr>
          <w:trHeight w:val="2367" w:hRule="atLeast"/>
        </w:trPr>
        <w:tc>
          <w:tcPr>
            <w:tcW w:w="687" w:type="dxa"/>
            <w:vMerge w:val="continue"/>
            <w:tcBorders>
              <w:top w:val="nil"/>
              <w:left w:val="single" w:color="000000" w:sz="4" w:space="0"/>
              <w:bottom w:val="single" w:color="000000" w:sz="4" w:space="0"/>
              <w:right w:val="single" w:color="000000" w:sz="4" w:space="0"/>
            </w:tcBorders>
            <w:shd w:val="clear" w:color="auto" w:fill="auto"/>
            <w:vAlign w:val="center"/>
          </w:tcPr>
          <w:p w14:paraId="5C81DA0C">
            <w:pPr>
              <w:widowControl/>
              <w:jc w:val="left"/>
              <w:rPr>
                <w:rFonts w:ascii="仿宋" w:hAnsi="仿宋" w:eastAsia="仿宋" w:cs="仿宋"/>
                <w:b/>
                <w:bCs/>
                <w:color w:val="auto"/>
                <w:kern w:val="0"/>
                <w:szCs w:val="28"/>
                <w:highlight w:val="none"/>
              </w:rPr>
            </w:pPr>
          </w:p>
        </w:tc>
        <w:tc>
          <w:tcPr>
            <w:tcW w:w="968" w:type="dxa"/>
            <w:tcBorders>
              <w:top w:val="nil"/>
              <w:left w:val="nil"/>
              <w:bottom w:val="single" w:color="000000" w:sz="4" w:space="0"/>
              <w:right w:val="single" w:color="000000" w:sz="4" w:space="0"/>
            </w:tcBorders>
            <w:shd w:val="clear" w:color="auto" w:fill="auto"/>
            <w:vAlign w:val="center"/>
          </w:tcPr>
          <w:p w14:paraId="5B42B903">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密封试验仪</w:t>
            </w:r>
          </w:p>
        </w:tc>
        <w:tc>
          <w:tcPr>
            <w:tcW w:w="830" w:type="dxa"/>
            <w:tcBorders>
              <w:top w:val="nil"/>
              <w:left w:val="nil"/>
              <w:bottom w:val="single" w:color="000000" w:sz="4" w:space="0"/>
              <w:right w:val="single" w:color="000000" w:sz="4" w:space="0"/>
            </w:tcBorders>
            <w:shd w:val="clear" w:color="auto" w:fill="auto"/>
            <w:vAlign w:val="center"/>
          </w:tcPr>
          <w:p w14:paraId="4850978F">
            <w:pPr>
              <w:widowControl/>
              <w:jc w:val="center"/>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1</w:t>
            </w:r>
          </w:p>
        </w:tc>
        <w:tc>
          <w:tcPr>
            <w:tcW w:w="1660" w:type="dxa"/>
            <w:tcBorders>
              <w:top w:val="nil"/>
              <w:left w:val="nil"/>
              <w:bottom w:val="single" w:color="000000" w:sz="4" w:space="0"/>
              <w:right w:val="single" w:color="000000" w:sz="4" w:space="0"/>
            </w:tcBorders>
            <w:shd w:val="clear" w:color="auto" w:fill="auto"/>
            <w:vAlign w:val="center"/>
          </w:tcPr>
          <w:p w14:paraId="0B9C06A5">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测试预制瓶/预制杯密封性能</w:t>
            </w:r>
          </w:p>
        </w:tc>
        <w:tc>
          <w:tcPr>
            <w:tcW w:w="5568" w:type="dxa"/>
            <w:tcBorders>
              <w:top w:val="nil"/>
              <w:left w:val="nil"/>
              <w:bottom w:val="single" w:color="000000" w:sz="4" w:space="0"/>
              <w:right w:val="single" w:color="000000" w:sz="4" w:space="0"/>
            </w:tcBorders>
            <w:shd w:val="clear" w:color="auto" w:fill="auto"/>
            <w:vAlign w:val="center"/>
          </w:tcPr>
          <w:p w14:paraId="094E10DF">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真空度：－(0～90)KPa*</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真空精度：示值的1%*</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真空保持时间：0.01s～99.99h*</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密封桶尺寸：大桶Ф600*500*</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真空室可用尺寸：570*470*</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进气压力：(0.6～0.8)MPa*</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电源220V，50Hz</w:t>
            </w:r>
          </w:p>
        </w:tc>
      </w:tr>
      <w:tr w14:paraId="32C66E94">
        <w:tblPrEx>
          <w:tblCellMar>
            <w:top w:w="0" w:type="dxa"/>
            <w:left w:w="108" w:type="dxa"/>
            <w:bottom w:w="0" w:type="dxa"/>
            <w:right w:w="108" w:type="dxa"/>
          </w:tblCellMar>
        </w:tblPrEx>
        <w:trPr>
          <w:trHeight w:val="3668" w:hRule="atLeast"/>
        </w:trPr>
        <w:tc>
          <w:tcPr>
            <w:tcW w:w="687" w:type="dxa"/>
            <w:vMerge w:val="continue"/>
            <w:tcBorders>
              <w:top w:val="nil"/>
              <w:left w:val="single" w:color="000000" w:sz="4" w:space="0"/>
              <w:bottom w:val="single" w:color="000000" w:sz="4" w:space="0"/>
              <w:right w:val="single" w:color="000000" w:sz="4" w:space="0"/>
            </w:tcBorders>
            <w:shd w:val="clear" w:color="auto" w:fill="auto"/>
            <w:vAlign w:val="center"/>
          </w:tcPr>
          <w:p w14:paraId="69CA1D02">
            <w:pPr>
              <w:widowControl/>
              <w:jc w:val="left"/>
              <w:rPr>
                <w:rFonts w:ascii="仿宋" w:hAnsi="仿宋" w:eastAsia="仿宋" w:cs="仿宋"/>
                <w:b/>
                <w:bCs/>
                <w:color w:val="auto"/>
                <w:kern w:val="0"/>
                <w:szCs w:val="28"/>
                <w:highlight w:val="none"/>
              </w:rPr>
            </w:pPr>
          </w:p>
        </w:tc>
        <w:tc>
          <w:tcPr>
            <w:tcW w:w="968" w:type="dxa"/>
            <w:tcBorders>
              <w:top w:val="nil"/>
              <w:left w:val="nil"/>
              <w:bottom w:val="single" w:color="000000" w:sz="4" w:space="0"/>
              <w:right w:val="single" w:color="000000" w:sz="4" w:space="0"/>
            </w:tcBorders>
            <w:shd w:val="clear" w:color="auto" w:fill="auto"/>
            <w:vAlign w:val="center"/>
          </w:tcPr>
          <w:p w14:paraId="78B692AF">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热封仪</w:t>
            </w:r>
          </w:p>
        </w:tc>
        <w:tc>
          <w:tcPr>
            <w:tcW w:w="830" w:type="dxa"/>
            <w:tcBorders>
              <w:top w:val="nil"/>
              <w:left w:val="nil"/>
              <w:bottom w:val="single" w:color="000000" w:sz="4" w:space="0"/>
              <w:right w:val="single" w:color="000000" w:sz="4" w:space="0"/>
            </w:tcBorders>
            <w:shd w:val="clear" w:color="auto" w:fill="auto"/>
            <w:vAlign w:val="center"/>
          </w:tcPr>
          <w:p w14:paraId="7AD88356">
            <w:pPr>
              <w:widowControl/>
              <w:jc w:val="center"/>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1</w:t>
            </w:r>
          </w:p>
        </w:tc>
        <w:tc>
          <w:tcPr>
            <w:tcW w:w="1660" w:type="dxa"/>
            <w:tcBorders>
              <w:top w:val="nil"/>
              <w:left w:val="nil"/>
              <w:bottom w:val="single" w:color="000000" w:sz="4" w:space="0"/>
              <w:right w:val="single" w:color="000000" w:sz="4" w:space="0"/>
            </w:tcBorders>
            <w:shd w:val="clear" w:color="auto" w:fill="auto"/>
            <w:vAlign w:val="center"/>
          </w:tcPr>
          <w:p w14:paraId="6CED2C0E">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测定预制杯盖膜的热封温度、热封时间、热封压力等热封性能参数</w:t>
            </w:r>
          </w:p>
        </w:tc>
        <w:tc>
          <w:tcPr>
            <w:tcW w:w="5568" w:type="dxa"/>
            <w:tcBorders>
              <w:top w:val="nil"/>
              <w:left w:val="nil"/>
              <w:bottom w:val="single" w:color="000000" w:sz="4" w:space="0"/>
              <w:right w:val="single" w:color="000000" w:sz="4" w:space="0"/>
            </w:tcBorders>
            <w:shd w:val="clear" w:color="auto" w:fill="auto"/>
            <w:vAlign w:val="center"/>
          </w:tcPr>
          <w:p w14:paraId="3ED100FC">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温度范围：室温～250℃*</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控温精度：±0.5℃*</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热封时间：0.1s～99.99 h*</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热封压力：(0~1) MPa*</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操作模式：自动手动两种模式*</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气源：压缩空气*</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功率1200 W</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电源AC 220V，50Hz</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上样方式：下托板采用双层叠放的设计，可抽拉式上样*</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杯型夹具：圆口直径：71,85,88,95,120*</w:t>
            </w:r>
          </w:p>
          <w:p w14:paraId="7D89BBC1">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方口尺寸：待定，报价包含3种方口夹具</w:t>
            </w:r>
          </w:p>
        </w:tc>
      </w:tr>
      <w:tr w14:paraId="12352A00">
        <w:tblPrEx>
          <w:tblCellMar>
            <w:top w:w="0" w:type="dxa"/>
            <w:left w:w="108" w:type="dxa"/>
            <w:bottom w:w="0" w:type="dxa"/>
            <w:right w:w="108" w:type="dxa"/>
          </w:tblCellMar>
        </w:tblPrEx>
        <w:trPr>
          <w:trHeight w:val="3582" w:hRule="atLeast"/>
        </w:trPr>
        <w:tc>
          <w:tcPr>
            <w:tcW w:w="687" w:type="dxa"/>
            <w:vMerge w:val="continue"/>
            <w:tcBorders>
              <w:top w:val="nil"/>
              <w:left w:val="single" w:color="000000" w:sz="4" w:space="0"/>
              <w:bottom w:val="single" w:color="000000" w:sz="4" w:space="0"/>
              <w:right w:val="single" w:color="000000" w:sz="4" w:space="0"/>
            </w:tcBorders>
            <w:shd w:val="clear" w:color="auto" w:fill="auto"/>
            <w:vAlign w:val="center"/>
          </w:tcPr>
          <w:p w14:paraId="3F776159">
            <w:pPr>
              <w:widowControl/>
              <w:jc w:val="left"/>
              <w:rPr>
                <w:rFonts w:ascii="仿宋" w:hAnsi="仿宋" w:eastAsia="仿宋" w:cs="仿宋"/>
                <w:b/>
                <w:bCs/>
                <w:color w:val="auto"/>
                <w:kern w:val="0"/>
                <w:szCs w:val="28"/>
                <w:highlight w:val="none"/>
              </w:rPr>
            </w:pPr>
          </w:p>
        </w:tc>
        <w:tc>
          <w:tcPr>
            <w:tcW w:w="968" w:type="dxa"/>
            <w:tcBorders>
              <w:top w:val="nil"/>
              <w:left w:val="nil"/>
              <w:bottom w:val="single" w:color="000000" w:sz="4" w:space="0"/>
              <w:right w:val="single" w:color="000000" w:sz="4" w:space="0"/>
            </w:tcBorders>
            <w:shd w:val="clear" w:color="auto" w:fill="auto"/>
            <w:vAlign w:val="center"/>
          </w:tcPr>
          <w:p w14:paraId="5E6DBAD6">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智能密封性能测试仪</w:t>
            </w:r>
          </w:p>
        </w:tc>
        <w:tc>
          <w:tcPr>
            <w:tcW w:w="830" w:type="dxa"/>
            <w:tcBorders>
              <w:top w:val="nil"/>
              <w:left w:val="nil"/>
              <w:bottom w:val="single" w:color="000000" w:sz="4" w:space="0"/>
              <w:right w:val="single" w:color="000000" w:sz="4" w:space="0"/>
            </w:tcBorders>
            <w:shd w:val="clear" w:color="auto" w:fill="auto"/>
            <w:vAlign w:val="center"/>
          </w:tcPr>
          <w:p w14:paraId="71B3C1EF">
            <w:pPr>
              <w:widowControl/>
              <w:jc w:val="center"/>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1</w:t>
            </w:r>
          </w:p>
        </w:tc>
        <w:tc>
          <w:tcPr>
            <w:tcW w:w="1660" w:type="dxa"/>
            <w:tcBorders>
              <w:top w:val="nil"/>
              <w:left w:val="nil"/>
              <w:bottom w:val="single" w:color="000000" w:sz="4" w:space="0"/>
              <w:right w:val="single" w:color="000000" w:sz="4" w:space="0"/>
            </w:tcBorders>
            <w:shd w:val="clear" w:color="auto" w:fill="auto"/>
            <w:vAlign w:val="center"/>
          </w:tcPr>
          <w:p w14:paraId="606806BE">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1.软包密封强度和完整性的测试；</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2.预制瓶/预制杯类包装抗负压测试；</w:t>
            </w:r>
          </w:p>
        </w:tc>
        <w:tc>
          <w:tcPr>
            <w:tcW w:w="5568" w:type="dxa"/>
            <w:tcBorders>
              <w:top w:val="nil"/>
              <w:left w:val="nil"/>
              <w:bottom w:val="single" w:color="000000" w:sz="4" w:space="0"/>
              <w:right w:val="single" w:color="000000" w:sz="4" w:space="0"/>
            </w:tcBorders>
            <w:shd w:val="clear" w:color="auto" w:fill="auto"/>
            <w:vAlign w:val="center"/>
          </w:tcPr>
          <w:p w14:paraId="751478D8">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测试范围：0.1 Kpa~1 Mpa *</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分辨率：0.1 Kpa*</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测试精度：0.1 Kpa*</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测试时间：1~1000 s*</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测试类型：爆破、泄漏、蠕变、气泡，抽气法*</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包装类型：软包，半塑性包装、全塑性包装，预制品/预制杯包装*</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气源压力：0.5 ~0.9 Mpa*</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电源220V 50Hz</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功率150W</w:t>
            </w:r>
            <w:r>
              <w:rPr>
                <w:rFonts w:hint="eastAsia" w:ascii="仿宋" w:hAnsi="仿宋" w:eastAsia="仿宋" w:cs="仿宋"/>
                <w:color w:val="auto"/>
                <w:kern w:val="0"/>
                <w:szCs w:val="28"/>
                <w:highlight w:val="none"/>
              </w:rPr>
              <w:br w:type="textWrapping"/>
            </w:r>
            <w:r>
              <w:rPr>
                <w:rFonts w:hint="eastAsia" w:ascii="仿宋" w:hAnsi="仿宋" w:eastAsia="仿宋" w:cs="仿宋"/>
                <w:color w:val="auto"/>
                <w:kern w:val="0"/>
                <w:szCs w:val="28"/>
                <w:highlight w:val="none"/>
              </w:rPr>
              <w:t>配件：针对预制瓶类包装需要制作瓶盖密封夹具*</w:t>
            </w:r>
          </w:p>
        </w:tc>
      </w:tr>
      <w:tr w14:paraId="3F9D8EC0">
        <w:tblPrEx>
          <w:tblCellMar>
            <w:top w:w="0" w:type="dxa"/>
            <w:left w:w="108" w:type="dxa"/>
            <w:bottom w:w="0" w:type="dxa"/>
            <w:right w:w="108" w:type="dxa"/>
          </w:tblCellMar>
        </w:tblPrEx>
        <w:trPr>
          <w:trHeight w:val="583" w:hRule="atLeast"/>
        </w:trPr>
        <w:tc>
          <w:tcPr>
            <w:tcW w:w="687" w:type="dxa"/>
            <w:vMerge w:val="continue"/>
            <w:tcBorders>
              <w:top w:val="nil"/>
              <w:left w:val="single" w:color="000000" w:sz="4" w:space="0"/>
              <w:bottom w:val="single" w:color="000000" w:sz="4" w:space="0"/>
              <w:right w:val="single" w:color="000000" w:sz="4" w:space="0"/>
            </w:tcBorders>
            <w:shd w:val="clear" w:color="auto" w:fill="auto"/>
            <w:vAlign w:val="center"/>
          </w:tcPr>
          <w:p w14:paraId="545B22CD">
            <w:pPr>
              <w:widowControl/>
              <w:jc w:val="left"/>
              <w:rPr>
                <w:rFonts w:ascii="仿宋" w:hAnsi="仿宋" w:eastAsia="仿宋" w:cs="仿宋"/>
                <w:b/>
                <w:bCs/>
                <w:color w:val="auto"/>
                <w:kern w:val="0"/>
                <w:szCs w:val="28"/>
                <w:highlight w:val="none"/>
              </w:rPr>
            </w:pPr>
          </w:p>
        </w:tc>
        <w:tc>
          <w:tcPr>
            <w:tcW w:w="968" w:type="dxa"/>
            <w:tcBorders>
              <w:top w:val="nil"/>
              <w:left w:val="nil"/>
              <w:bottom w:val="single" w:color="000000" w:sz="4" w:space="0"/>
              <w:right w:val="single" w:color="000000" w:sz="4" w:space="0"/>
            </w:tcBorders>
            <w:shd w:val="clear" w:color="auto" w:fill="auto"/>
            <w:vAlign w:val="center"/>
          </w:tcPr>
          <w:p w14:paraId="6BB18820">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密度计</w:t>
            </w:r>
          </w:p>
        </w:tc>
        <w:tc>
          <w:tcPr>
            <w:tcW w:w="830" w:type="dxa"/>
            <w:tcBorders>
              <w:top w:val="nil"/>
              <w:left w:val="nil"/>
              <w:bottom w:val="single" w:color="000000" w:sz="4" w:space="0"/>
              <w:right w:val="single" w:color="000000" w:sz="4" w:space="0"/>
            </w:tcBorders>
            <w:shd w:val="clear" w:color="auto" w:fill="auto"/>
            <w:vAlign w:val="center"/>
          </w:tcPr>
          <w:p w14:paraId="2E20F266">
            <w:pPr>
              <w:widowControl/>
              <w:jc w:val="center"/>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2</w:t>
            </w:r>
          </w:p>
        </w:tc>
        <w:tc>
          <w:tcPr>
            <w:tcW w:w="1660" w:type="dxa"/>
            <w:tcBorders>
              <w:top w:val="nil"/>
              <w:left w:val="nil"/>
              <w:bottom w:val="single" w:color="000000" w:sz="4" w:space="0"/>
              <w:right w:val="single" w:color="000000" w:sz="4" w:space="0"/>
            </w:tcBorders>
            <w:shd w:val="clear" w:color="auto" w:fill="auto"/>
            <w:vAlign w:val="center"/>
          </w:tcPr>
          <w:p w14:paraId="719BF9A4">
            <w:pPr>
              <w:widowControl/>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检测液体密度</w:t>
            </w:r>
          </w:p>
        </w:tc>
        <w:tc>
          <w:tcPr>
            <w:tcW w:w="5568" w:type="dxa"/>
            <w:tcBorders>
              <w:top w:val="nil"/>
              <w:left w:val="nil"/>
              <w:bottom w:val="single" w:color="000000" w:sz="4" w:space="0"/>
              <w:right w:val="single" w:color="000000" w:sz="4" w:space="0"/>
            </w:tcBorders>
            <w:shd w:val="clear" w:color="auto" w:fill="auto"/>
            <w:vAlign w:val="center"/>
          </w:tcPr>
          <w:p w14:paraId="714498B2">
            <w:pPr>
              <w:widowControl/>
              <w:spacing w:line="240" w:lineRule="exact"/>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便携式手持液体密度仪</w:t>
            </w:r>
          </w:p>
          <w:p w14:paraId="072DE133">
            <w:pPr>
              <w:pStyle w:val="2"/>
              <w:spacing w:line="240" w:lineRule="exac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测量范围：0.0001~3.0000g/cm3*</w:t>
            </w:r>
          </w:p>
          <w:p w14:paraId="38471C58">
            <w:pPr>
              <w:pStyle w:val="2"/>
              <w:spacing w:line="240" w:lineRule="exac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分辨率：0.0001g/cm</w:t>
            </w:r>
          </w:p>
          <w:p w14:paraId="14987DD7">
            <w:pPr>
              <w:pStyle w:val="2"/>
              <w:spacing w:line="240" w:lineRule="exac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准确性：0.001g/cm3*</w:t>
            </w:r>
          </w:p>
          <w:p w14:paraId="165FF5AA">
            <w:pPr>
              <w:pStyle w:val="2"/>
              <w:spacing w:line="240" w:lineRule="exac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可重复性：0.0005g/cm3</w:t>
            </w:r>
          </w:p>
        </w:tc>
      </w:tr>
    </w:tbl>
    <w:p w14:paraId="2FD466CD">
      <w:pPr>
        <w:pStyle w:val="2"/>
        <w:rPr>
          <w:rFonts w:ascii="仿宋" w:hAnsi="仿宋" w:eastAsia="仿宋" w:cs="仿宋"/>
          <w:bCs/>
          <w:color w:val="auto"/>
          <w:sz w:val="24"/>
          <w:highlight w:val="none"/>
        </w:rPr>
      </w:pPr>
      <w:r>
        <w:rPr>
          <w:rFonts w:hint="eastAsia" w:ascii="仿宋" w:hAnsi="仿宋" w:eastAsia="仿宋" w:cs="仿宋"/>
          <w:bCs/>
          <w:color w:val="auto"/>
          <w:sz w:val="24"/>
          <w:highlight w:val="none"/>
        </w:rPr>
        <w:t>备注：投标商必须满足标段内所有设备视为有效报名且标注“*”的为必须满足项。</w:t>
      </w:r>
    </w:p>
    <w:p w14:paraId="37DA4C9F">
      <w:pPr>
        <w:rPr>
          <w:rFonts w:ascii="仿宋" w:hAnsi="仿宋" w:eastAsia="仿宋" w:cs="仿宋"/>
          <w:color w:val="auto"/>
          <w:highlight w:val="none"/>
        </w:rPr>
      </w:pPr>
      <w:r>
        <w:rPr>
          <w:rFonts w:hint="eastAsia" w:ascii="仿宋" w:hAnsi="仿宋" w:eastAsia="仿宋" w:cs="仿宋"/>
          <w:bCs/>
          <w:color w:val="auto"/>
          <w:sz w:val="28"/>
          <w:szCs w:val="28"/>
          <w:highlight w:val="none"/>
        </w:rPr>
        <w:t>标段二：</w:t>
      </w:r>
    </w:p>
    <w:tbl>
      <w:tblPr>
        <w:tblStyle w:val="11"/>
        <w:tblW w:w="9749" w:type="dxa"/>
        <w:tblInd w:w="-2" w:type="dxa"/>
        <w:tblLayout w:type="fixed"/>
        <w:tblCellMar>
          <w:top w:w="0" w:type="dxa"/>
          <w:left w:w="108" w:type="dxa"/>
          <w:bottom w:w="0" w:type="dxa"/>
          <w:right w:w="108" w:type="dxa"/>
        </w:tblCellMar>
      </w:tblPr>
      <w:tblGrid>
        <w:gridCol w:w="545"/>
        <w:gridCol w:w="841"/>
        <w:gridCol w:w="850"/>
        <w:gridCol w:w="674"/>
        <w:gridCol w:w="801"/>
        <w:gridCol w:w="2703"/>
        <w:gridCol w:w="3335"/>
      </w:tblGrid>
      <w:tr w14:paraId="6F25EA4C">
        <w:tblPrEx>
          <w:tblCellMar>
            <w:top w:w="0" w:type="dxa"/>
            <w:left w:w="108" w:type="dxa"/>
            <w:bottom w:w="0" w:type="dxa"/>
            <w:right w:w="108" w:type="dxa"/>
          </w:tblCellMar>
        </w:tblPrEx>
        <w:trPr>
          <w:trHeight w:val="714" w:hRule="atLeast"/>
        </w:trPr>
        <w:tc>
          <w:tcPr>
            <w:tcW w:w="545" w:type="dxa"/>
            <w:tcBorders>
              <w:top w:val="single" w:color="000000" w:sz="4" w:space="0"/>
              <w:left w:val="single" w:color="000000" w:sz="4" w:space="0"/>
              <w:bottom w:val="nil"/>
              <w:right w:val="single" w:color="000000" w:sz="4" w:space="0"/>
            </w:tcBorders>
            <w:shd w:val="clear" w:color="auto" w:fill="auto"/>
            <w:vAlign w:val="center"/>
          </w:tcPr>
          <w:p w14:paraId="72B8F154">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标段</w:t>
            </w:r>
          </w:p>
        </w:tc>
        <w:tc>
          <w:tcPr>
            <w:tcW w:w="841" w:type="dxa"/>
            <w:tcBorders>
              <w:top w:val="single" w:color="000000" w:sz="4" w:space="0"/>
              <w:left w:val="nil"/>
              <w:bottom w:val="nil"/>
              <w:right w:val="single" w:color="000000" w:sz="4" w:space="0"/>
            </w:tcBorders>
            <w:shd w:val="clear" w:color="auto" w:fill="auto"/>
            <w:vAlign w:val="center"/>
          </w:tcPr>
          <w:p w14:paraId="75246EDA">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需求项目名称</w:t>
            </w:r>
          </w:p>
        </w:tc>
        <w:tc>
          <w:tcPr>
            <w:tcW w:w="850" w:type="dxa"/>
            <w:tcBorders>
              <w:top w:val="single" w:color="000000" w:sz="4" w:space="0"/>
              <w:left w:val="nil"/>
              <w:bottom w:val="nil"/>
              <w:right w:val="single" w:color="000000" w:sz="4" w:space="0"/>
            </w:tcBorders>
            <w:shd w:val="clear" w:color="auto" w:fill="auto"/>
            <w:vAlign w:val="center"/>
          </w:tcPr>
          <w:p w14:paraId="11B36B3A">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实验目的</w:t>
            </w:r>
          </w:p>
        </w:tc>
        <w:tc>
          <w:tcPr>
            <w:tcW w:w="674" w:type="dxa"/>
            <w:tcBorders>
              <w:top w:val="single" w:color="000000" w:sz="4" w:space="0"/>
              <w:left w:val="nil"/>
              <w:bottom w:val="nil"/>
              <w:right w:val="single" w:color="000000" w:sz="4" w:space="0"/>
            </w:tcBorders>
            <w:shd w:val="clear" w:color="auto" w:fill="auto"/>
            <w:vAlign w:val="center"/>
          </w:tcPr>
          <w:p w14:paraId="7490F8F2">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数量（台）</w:t>
            </w:r>
          </w:p>
        </w:tc>
        <w:tc>
          <w:tcPr>
            <w:tcW w:w="801" w:type="dxa"/>
            <w:tcBorders>
              <w:top w:val="single" w:color="000000" w:sz="4" w:space="0"/>
              <w:left w:val="nil"/>
              <w:bottom w:val="nil"/>
              <w:right w:val="single" w:color="000000" w:sz="4" w:space="0"/>
            </w:tcBorders>
            <w:shd w:val="clear" w:color="auto" w:fill="auto"/>
            <w:vAlign w:val="center"/>
          </w:tcPr>
          <w:p w14:paraId="684F605B">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进口or国产</w:t>
            </w:r>
          </w:p>
        </w:tc>
        <w:tc>
          <w:tcPr>
            <w:tcW w:w="2703" w:type="dxa"/>
            <w:tcBorders>
              <w:top w:val="single" w:color="000000" w:sz="4" w:space="0"/>
              <w:left w:val="nil"/>
              <w:bottom w:val="nil"/>
              <w:right w:val="single" w:color="000000" w:sz="4" w:space="0"/>
            </w:tcBorders>
            <w:shd w:val="clear" w:color="auto" w:fill="auto"/>
            <w:noWrap/>
            <w:vAlign w:val="center"/>
          </w:tcPr>
          <w:p w14:paraId="700FD583">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需求参数</w:t>
            </w:r>
          </w:p>
        </w:tc>
        <w:tc>
          <w:tcPr>
            <w:tcW w:w="3335" w:type="dxa"/>
            <w:tcBorders>
              <w:top w:val="single" w:color="000000" w:sz="4" w:space="0"/>
              <w:left w:val="nil"/>
              <w:bottom w:val="nil"/>
              <w:right w:val="single" w:color="000000" w:sz="4" w:space="0"/>
            </w:tcBorders>
            <w:shd w:val="clear" w:color="auto" w:fill="auto"/>
            <w:vAlign w:val="center"/>
          </w:tcPr>
          <w:p w14:paraId="767C3301">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售后服务要求</w:t>
            </w:r>
          </w:p>
        </w:tc>
      </w:tr>
      <w:tr w14:paraId="219ED44A">
        <w:tblPrEx>
          <w:tblCellMar>
            <w:top w:w="0" w:type="dxa"/>
            <w:left w:w="108" w:type="dxa"/>
            <w:bottom w:w="0" w:type="dxa"/>
            <w:right w:w="108" w:type="dxa"/>
          </w:tblCellMar>
        </w:tblPrEx>
        <w:trPr>
          <w:trHeight w:val="1176" w:hRule="atLeast"/>
        </w:trPr>
        <w:tc>
          <w:tcPr>
            <w:tcW w:w="5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FA10F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标段二</w:t>
            </w:r>
          </w:p>
        </w:tc>
        <w:tc>
          <w:tcPr>
            <w:tcW w:w="841" w:type="dxa"/>
            <w:tcBorders>
              <w:top w:val="single" w:color="auto" w:sz="4" w:space="0"/>
              <w:left w:val="nil"/>
              <w:bottom w:val="single" w:color="auto" w:sz="4" w:space="0"/>
              <w:right w:val="single" w:color="auto" w:sz="4" w:space="0"/>
            </w:tcBorders>
            <w:shd w:val="clear" w:color="auto" w:fill="auto"/>
            <w:vAlign w:val="center"/>
          </w:tcPr>
          <w:p w14:paraId="564B7D05">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虚拟现实（VR）设备</w:t>
            </w:r>
          </w:p>
        </w:tc>
        <w:tc>
          <w:tcPr>
            <w:tcW w:w="850" w:type="dxa"/>
            <w:tcBorders>
              <w:top w:val="single" w:color="auto" w:sz="4" w:space="0"/>
              <w:left w:val="nil"/>
              <w:bottom w:val="single" w:color="auto" w:sz="4" w:space="0"/>
              <w:right w:val="single" w:color="auto" w:sz="4" w:space="0"/>
            </w:tcBorders>
            <w:shd w:val="clear" w:color="auto" w:fill="auto"/>
            <w:vAlign w:val="center"/>
          </w:tcPr>
          <w:p w14:paraId="20E74B7B">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VR设备能够创造出高度沉浸式的虚拟环境，用于模拟现实中难以再现的感官场景和情境。这套设备能够控制和操纵多感官刺激，精确测量被试者在复杂环境中的认知和情绪反应。特别是在探索全沉浸感官体验、情绪符号化和人机交互方面，VR技术能够提供更丰富的实验条件，推动感官认知研究的深度与广度。</w:t>
            </w:r>
          </w:p>
        </w:tc>
        <w:tc>
          <w:tcPr>
            <w:tcW w:w="674" w:type="dxa"/>
            <w:tcBorders>
              <w:top w:val="single" w:color="auto" w:sz="4" w:space="0"/>
              <w:left w:val="nil"/>
              <w:bottom w:val="single" w:color="auto" w:sz="4" w:space="0"/>
              <w:right w:val="single" w:color="auto" w:sz="4" w:space="0"/>
            </w:tcBorders>
            <w:shd w:val="clear" w:color="auto" w:fill="auto"/>
            <w:noWrap/>
            <w:vAlign w:val="center"/>
          </w:tcPr>
          <w:p w14:paraId="5288140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801" w:type="dxa"/>
            <w:tcBorders>
              <w:top w:val="single" w:color="auto" w:sz="4" w:space="0"/>
              <w:left w:val="nil"/>
              <w:bottom w:val="single" w:color="auto" w:sz="4" w:space="0"/>
              <w:right w:val="single" w:color="auto" w:sz="4" w:space="0"/>
            </w:tcBorders>
            <w:shd w:val="clear" w:color="auto" w:fill="auto"/>
            <w:noWrap/>
            <w:vAlign w:val="center"/>
          </w:tcPr>
          <w:p w14:paraId="28AA47B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w:t>
            </w:r>
          </w:p>
        </w:tc>
        <w:tc>
          <w:tcPr>
            <w:tcW w:w="2703" w:type="dxa"/>
            <w:tcBorders>
              <w:top w:val="single" w:color="auto" w:sz="4" w:space="0"/>
              <w:left w:val="nil"/>
              <w:bottom w:val="single" w:color="auto" w:sz="4" w:space="0"/>
              <w:right w:val="single" w:color="auto" w:sz="4" w:space="0"/>
            </w:tcBorders>
            <w:shd w:val="clear" w:color="auto" w:fill="auto"/>
            <w:vAlign w:val="center"/>
          </w:tcPr>
          <w:p w14:paraId="3200FEE7">
            <w:pPr>
              <w:widowControl/>
              <w:jc w:val="left"/>
              <w:rPr>
                <w:rFonts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*进口</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虚拟现实（VR）设备包括虚拟现实头盔*2、虚拟现实位置定位系统、虚拟现实交互手柄、Leap motion(体感交互）、数据手套、生理多通道同步记录分析平台、定制场景。</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w:t>
            </w:r>
            <w:r>
              <w:rPr>
                <w:rFonts w:hint="eastAsia" w:ascii="仿宋" w:hAnsi="仿宋" w:eastAsia="仿宋" w:cs="仿宋"/>
                <w:b/>
                <w:bCs/>
                <w:color w:val="auto"/>
                <w:kern w:val="0"/>
                <w:szCs w:val="21"/>
                <w:highlight w:val="none"/>
              </w:rPr>
              <w:t>1.虚拟现实头盔：</w:t>
            </w:r>
            <w:r>
              <w:rPr>
                <w:rFonts w:hint="eastAsia" w:ascii="仿宋" w:hAnsi="仿宋" w:eastAsia="仿宋" w:cs="仿宋"/>
                <w:color w:val="auto"/>
                <w:kern w:val="0"/>
                <w:szCs w:val="21"/>
                <w:highlight w:val="none"/>
              </w:rPr>
              <w:t>单眼1200x1080的分辨率；刷新率：≥75Hz；</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内置陀螺仪、加速度计；自带音频接口；</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360度全景视角，能够配合位置定位，实现与其他的设备的交互；</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w:t>
            </w:r>
            <w:r>
              <w:rPr>
                <w:rFonts w:hint="eastAsia" w:ascii="仿宋" w:hAnsi="仿宋" w:eastAsia="仿宋" w:cs="仿宋"/>
                <w:b/>
                <w:bCs/>
                <w:color w:val="auto"/>
                <w:kern w:val="0"/>
                <w:szCs w:val="21"/>
                <w:highlight w:val="none"/>
              </w:rPr>
              <w:t>2.虚拟现实位置定位系统：</w:t>
            </w:r>
            <w:r>
              <w:rPr>
                <w:rFonts w:hint="eastAsia" w:ascii="仿宋" w:hAnsi="仿宋" w:eastAsia="仿宋" w:cs="仿宋"/>
                <w:color w:val="auto"/>
                <w:kern w:val="0"/>
                <w:szCs w:val="21"/>
                <w:highlight w:val="none"/>
              </w:rPr>
              <w:t>配置2个追踪探测模块，拆装简便，可以便携，支持被试者的全身位置追踪，追踪结果可在线反馈，追踪精度：&lt; 0.5 cm，支持6自由度空间数据采集，系统延迟：&lt; 20ms追踪距离最远可达5米，使用于20平方米的范围。支持交互手柄，可结合数据手套实现手指交互。</w:t>
            </w:r>
            <w:r>
              <w:rPr>
                <w:rFonts w:hint="eastAsia" w:ascii="仿宋" w:hAnsi="仿宋" w:eastAsia="仿宋" w:cs="仿宋"/>
                <w:color w:val="auto"/>
                <w:kern w:val="0"/>
                <w:szCs w:val="21"/>
                <w:highlight w:val="none"/>
              </w:rPr>
              <w:br w:type="textWrapping"/>
            </w:r>
            <w:r>
              <w:rPr>
                <w:rFonts w:hint="eastAsia" w:ascii="仿宋" w:hAnsi="仿宋" w:eastAsia="仿宋" w:cs="仿宋"/>
                <w:b/>
                <w:bCs/>
                <w:color w:val="auto"/>
                <w:kern w:val="0"/>
                <w:szCs w:val="21"/>
                <w:highlight w:val="none"/>
              </w:rPr>
              <w:t>3.虚拟现实交互手柄</w:t>
            </w:r>
            <w:r>
              <w:rPr>
                <w:rFonts w:hint="eastAsia" w:ascii="仿宋" w:hAnsi="仿宋" w:eastAsia="仿宋" w:cs="仿宋"/>
                <w:color w:val="auto"/>
                <w:kern w:val="0"/>
                <w:szCs w:val="21"/>
                <w:highlight w:val="none"/>
              </w:rPr>
              <w:t>：配置2个六自由度追踪手持导航装置；</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用于控制按钮，并使用6自由度输出数据使其相互关联，可实现全部数据的匹配；</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持续供电时间：≥8小时。角度:360°；分辨率：≤0.5mm，精度：≤0.5cm；</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追踪范围≤5m，人体工程学设计，舒适性良好。</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w:t>
            </w:r>
            <w:r>
              <w:rPr>
                <w:rFonts w:hint="eastAsia" w:ascii="仿宋" w:hAnsi="仿宋" w:eastAsia="仿宋" w:cs="仿宋"/>
                <w:b/>
                <w:bCs/>
                <w:color w:val="auto"/>
                <w:kern w:val="0"/>
                <w:szCs w:val="21"/>
                <w:highlight w:val="none"/>
              </w:rPr>
              <w:t>4.Leap Motion:</w:t>
            </w:r>
            <w:r>
              <w:rPr>
                <w:rFonts w:hint="eastAsia" w:ascii="仿宋" w:hAnsi="仿宋" w:eastAsia="仿宋" w:cs="仿宋"/>
                <w:color w:val="auto"/>
                <w:kern w:val="0"/>
                <w:szCs w:val="21"/>
                <w:highlight w:val="none"/>
              </w:rPr>
              <w:t>百分之一毫米内的误差跟踪所有10个手指，</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超广角的150°视场，超过每秒200帧的速度来跟踪手指的运动。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控制器不会与键盘、鼠标、手写笔、触控板发生冲突；</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无需特殊的适配器，只需将其连接到PC的USB接口上就能运行；</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w:t>
            </w:r>
            <w:r>
              <w:rPr>
                <w:rFonts w:hint="eastAsia" w:ascii="仿宋" w:hAnsi="仿宋" w:eastAsia="仿宋" w:cs="仿宋"/>
                <w:b/>
                <w:bCs/>
                <w:color w:val="auto"/>
                <w:kern w:val="0"/>
                <w:szCs w:val="21"/>
                <w:highlight w:val="none"/>
              </w:rPr>
              <w:t>5.数据手套：</w:t>
            </w:r>
            <w:r>
              <w:rPr>
                <w:rFonts w:hint="eastAsia" w:ascii="仿宋" w:hAnsi="仿宋" w:eastAsia="仿宋" w:cs="仿宋"/>
                <w:color w:val="auto"/>
                <w:kern w:val="0"/>
                <w:szCs w:val="21"/>
                <w:highlight w:val="none"/>
              </w:rPr>
              <w:t>佩戴舒适、简单易用、波形系数小、以及驱动程序完备</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可测量手指弯曲的程度与手指间的外部肌肉;</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通过USB数据线与计算机相连，通过串行接口模块可以使用串行端口;（RS232）选项,8-bit曲度解析率;开放式结构;</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w:t>
            </w:r>
            <w:r>
              <w:rPr>
                <w:rFonts w:hint="eastAsia" w:ascii="仿宋" w:hAnsi="仿宋" w:eastAsia="仿宋" w:cs="仿宋"/>
                <w:b/>
                <w:bCs/>
                <w:color w:val="auto"/>
                <w:kern w:val="0"/>
                <w:szCs w:val="21"/>
                <w:highlight w:val="none"/>
              </w:rPr>
              <w:t>6.嵌入式VR场景眼动仪</w:t>
            </w:r>
            <w:r>
              <w:rPr>
                <w:rFonts w:hint="eastAsia" w:ascii="仿宋" w:hAnsi="仿宋" w:eastAsia="仿宋" w:cs="仿宋"/>
                <w:color w:val="auto"/>
                <w:kern w:val="0"/>
                <w:szCs w:val="21"/>
                <w:highlight w:val="none"/>
              </w:rPr>
              <w:t>：采集方式：单眼采集；</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采样率：≥100HZ；</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数据传输方式：USB3.0接口；</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空间分辨率：≤双眼0.5°；</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凝视位置精度：≤双眼0.5°；</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w:t>
            </w:r>
            <w:r>
              <w:rPr>
                <w:rFonts w:hint="eastAsia" w:ascii="仿宋" w:hAnsi="仿宋" w:eastAsia="仿宋" w:cs="仿宋"/>
                <w:b/>
                <w:bCs/>
                <w:color w:val="auto"/>
                <w:kern w:val="0"/>
                <w:szCs w:val="21"/>
                <w:highlight w:val="none"/>
              </w:rPr>
              <w:t>7.虚拟现实眼动、生理多通道同步记录分析平台：</w:t>
            </w:r>
            <w:r>
              <w:rPr>
                <w:rFonts w:hint="eastAsia" w:ascii="仿宋" w:hAnsi="仿宋" w:eastAsia="仿宋" w:cs="仿宋"/>
                <w:color w:val="auto"/>
                <w:kern w:val="0"/>
                <w:szCs w:val="21"/>
                <w:highlight w:val="none"/>
              </w:rPr>
              <w:t>眼动采样率：≥100HZ；精度：0.5°，延时：&lt;5ms；</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多通道生理仪：脉搏、皮电等；</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具备虚拟现实同步记录分析软件，同步输出VR、眼动、生理数据；</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w:t>
            </w:r>
            <w:r>
              <w:rPr>
                <w:rFonts w:hint="eastAsia" w:ascii="仿宋" w:hAnsi="仿宋" w:eastAsia="仿宋" w:cs="仿宋"/>
                <w:b/>
                <w:bCs/>
                <w:color w:val="auto"/>
                <w:kern w:val="0"/>
                <w:szCs w:val="21"/>
                <w:highlight w:val="none"/>
              </w:rPr>
              <w:t>8.虚拟现实体验案例</w:t>
            </w:r>
            <w:r>
              <w:rPr>
                <w:rFonts w:hint="eastAsia" w:ascii="仿宋" w:hAnsi="仿宋" w:eastAsia="仿宋" w:cs="仿宋"/>
                <w:color w:val="auto"/>
                <w:kern w:val="0"/>
                <w:szCs w:val="21"/>
                <w:highlight w:val="none"/>
              </w:rPr>
              <w:t>：20个虚拟现实体验Demo。</w:t>
            </w:r>
          </w:p>
        </w:tc>
        <w:tc>
          <w:tcPr>
            <w:tcW w:w="3335" w:type="dxa"/>
            <w:tcBorders>
              <w:top w:val="single" w:color="auto" w:sz="4" w:space="0"/>
              <w:left w:val="nil"/>
              <w:bottom w:val="single" w:color="auto" w:sz="4" w:space="0"/>
              <w:right w:val="single" w:color="auto" w:sz="4" w:space="0"/>
            </w:tcBorders>
            <w:shd w:val="clear" w:color="auto" w:fill="auto"/>
            <w:vAlign w:val="center"/>
          </w:tcPr>
          <w:p w14:paraId="7078BF69">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 提供2年售后服务期。</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 在产品寿命期内，保证产品及其附件的备件供应、及时响应维修需求。</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 提供免费现场培训次数不少于1次，培训内容包括软件的技术原理、操作、数据处理、基本维护等。</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 提供不少于2人次的线下技术交流培训会议名额，提供不少于每年2人次的线上免费培训名额。</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 虚拟现实引擎支持3年内免费升级服务，其他软件提供5年内免费升级服务。</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 可安排技术人员免费协助客户制作虚拟现实实验场景2个（免费提供制作实验场景的三维素材）。</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7、 安装调试完成后提供工程师进行一次现场培训。培训不少于5名使用人员，培训的方式是工程师上门进行操作一对一或一对多培训，培训的时间不少于2天，直至完全掌握产品的使用，培训完成后，会检验使用方被培训人员是否能达到软硬件熟练操作运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8、 配备专业售后服务支持团队且团队专注虚拟现实领域，人员具备建模、编码和硬件开发与调试的能力</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9、 产品服务实施的全生命周期，我们提供完备的技术支撑服务，包括线上的技术咨询（微信/电话/论坛）、面对面技术培训、自主编写的培训教材和实验共同研发服务。</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10、 24小时技术咨询服务</w:t>
            </w:r>
          </w:p>
        </w:tc>
      </w:tr>
      <w:tr w14:paraId="475A5BE6">
        <w:tblPrEx>
          <w:tblCellMar>
            <w:top w:w="0" w:type="dxa"/>
            <w:left w:w="108" w:type="dxa"/>
            <w:bottom w:w="0" w:type="dxa"/>
            <w:right w:w="108" w:type="dxa"/>
          </w:tblCellMar>
        </w:tblPrEx>
        <w:trPr>
          <w:trHeight w:val="1656"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88432">
            <w:pPr>
              <w:widowControl/>
              <w:jc w:val="left"/>
              <w:rPr>
                <w:rFonts w:ascii="仿宋" w:hAnsi="仿宋" w:eastAsia="仿宋" w:cs="仿宋"/>
                <w:color w:val="auto"/>
                <w:kern w:val="0"/>
                <w:szCs w:val="21"/>
                <w:highlight w:val="none"/>
              </w:rPr>
            </w:pPr>
          </w:p>
        </w:tc>
        <w:tc>
          <w:tcPr>
            <w:tcW w:w="841" w:type="dxa"/>
            <w:tcBorders>
              <w:top w:val="nil"/>
              <w:left w:val="nil"/>
              <w:bottom w:val="single" w:color="auto" w:sz="4" w:space="0"/>
              <w:right w:val="single" w:color="auto" w:sz="4" w:space="0"/>
            </w:tcBorders>
            <w:shd w:val="clear" w:color="auto" w:fill="auto"/>
            <w:vAlign w:val="center"/>
          </w:tcPr>
          <w:p w14:paraId="2B057390">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超声设备</w:t>
            </w:r>
          </w:p>
        </w:tc>
        <w:tc>
          <w:tcPr>
            <w:tcW w:w="850" w:type="dxa"/>
            <w:tcBorders>
              <w:top w:val="nil"/>
              <w:left w:val="nil"/>
              <w:bottom w:val="single" w:color="auto" w:sz="4" w:space="0"/>
              <w:right w:val="single" w:color="auto" w:sz="4" w:space="0"/>
            </w:tcBorders>
            <w:shd w:val="clear" w:color="auto" w:fill="auto"/>
            <w:vAlign w:val="center"/>
          </w:tcPr>
          <w:p w14:paraId="188D1F8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用于探索超声在酸奶、稀奶油、乳饮料、蛋白改性等方向的应用潜力</w:t>
            </w:r>
          </w:p>
        </w:tc>
        <w:tc>
          <w:tcPr>
            <w:tcW w:w="674" w:type="dxa"/>
            <w:tcBorders>
              <w:top w:val="nil"/>
              <w:left w:val="nil"/>
              <w:bottom w:val="single" w:color="auto" w:sz="4" w:space="0"/>
              <w:right w:val="single" w:color="auto" w:sz="4" w:space="0"/>
            </w:tcBorders>
            <w:shd w:val="clear" w:color="auto" w:fill="auto"/>
            <w:noWrap/>
            <w:vAlign w:val="center"/>
          </w:tcPr>
          <w:p w14:paraId="2CD9908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801" w:type="dxa"/>
            <w:tcBorders>
              <w:top w:val="nil"/>
              <w:left w:val="nil"/>
              <w:bottom w:val="single" w:color="auto" w:sz="4" w:space="0"/>
              <w:right w:val="single" w:color="auto" w:sz="4" w:space="0"/>
            </w:tcBorders>
            <w:shd w:val="clear" w:color="auto" w:fill="auto"/>
            <w:noWrap/>
            <w:vAlign w:val="center"/>
          </w:tcPr>
          <w:p w14:paraId="2E01B89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国产</w:t>
            </w:r>
          </w:p>
        </w:tc>
        <w:tc>
          <w:tcPr>
            <w:tcW w:w="2703" w:type="dxa"/>
            <w:tcBorders>
              <w:top w:val="nil"/>
              <w:left w:val="nil"/>
              <w:bottom w:val="single" w:color="auto" w:sz="4" w:space="0"/>
              <w:right w:val="single" w:color="auto" w:sz="4" w:space="0"/>
            </w:tcBorders>
            <w:shd w:val="clear" w:color="auto" w:fill="auto"/>
            <w:vAlign w:val="center"/>
          </w:tcPr>
          <w:p w14:paraId="5858BB4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主要技术参数：</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1.采用中央微机集中控制；</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2.7寸TFT触摸屏显示；</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*3.超声波功率步进以1%连续精细可调；</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4.具有脉冲和连续工作并带有测试功能；</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*5.超声时间、间隙时间可精确到0.1秒；</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6.具有过载和时间报警功能；</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7.配备智能升降隔音箱；</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8.隔音箱装置采用钣金、喷塑、ABS材质，模具化设计；</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*9.TC4换能器，钛合金变幅杆；</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*10.频率: 19.5-20.5 KHz</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11.显示方式: 7英寸TFT触摸屏</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*12.功率: 1800 W（1%-100%）</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*13.随机变幅杆: 25 mm</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*14.标配变幅杆:20,28 mm</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*15.破碎容量: 50-1200 ml</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16.占空比: 0.1-99.9 %</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17.温度报警: 0-99.9℃，有（防止样品过热）</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18.报警: 时间，过载，温度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19.电源: 220/110V 50Hz/60Hz</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20.电源机箱尺寸: 430*245*300 mm</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21.主机+换能器重量:11.8 Kg</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22.隔音箱尺寸: 345*345*535 mm</w:t>
            </w:r>
          </w:p>
        </w:tc>
        <w:tc>
          <w:tcPr>
            <w:tcW w:w="3335" w:type="dxa"/>
            <w:tcBorders>
              <w:top w:val="nil"/>
              <w:left w:val="nil"/>
              <w:bottom w:val="single" w:color="auto" w:sz="4" w:space="0"/>
              <w:right w:val="single" w:color="auto" w:sz="4" w:space="0"/>
            </w:tcBorders>
            <w:shd w:val="clear" w:color="auto" w:fill="auto"/>
            <w:vAlign w:val="center"/>
          </w:tcPr>
          <w:p w14:paraId="243D2602">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设备质保一年，终身免费上门维修，本地化售后服务（需当地配有专业工程师）</w:t>
            </w:r>
          </w:p>
        </w:tc>
      </w:tr>
      <w:tr w14:paraId="09BB90D0">
        <w:tblPrEx>
          <w:tblCellMar>
            <w:top w:w="0" w:type="dxa"/>
            <w:left w:w="108" w:type="dxa"/>
            <w:bottom w:w="0" w:type="dxa"/>
            <w:right w:w="108" w:type="dxa"/>
          </w:tblCellMar>
        </w:tblPrEx>
        <w:trPr>
          <w:trHeight w:val="1266"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6D403">
            <w:pPr>
              <w:widowControl/>
              <w:jc w:val="left"/>
              <w:rPr>
                <w:rFonts w:ascii="仿宋" w:hAnsi="仿宋" w:eastAsia="仿宋" w:cs="仿宋"/>
                <w:color w:val="auto"/>
                <w:kern w:val="0"/>
                <w:szCs w:val="21"/>
                <w:highlight w:val="none"/>
              </w:rPr>
            </w:pPr>
          </w:p>
        </w:tc>
        <w:tc>
          <w:tcPr>
            <w:tcW w:w="841" w:type="dxa"/>
            <w:tcBorders>
              <w:top w:val="nil"/>
              <w:left w:val="nil"/>
              <w:bottom w:val="single" w:color="auto" w:sz="4" w:space="0"/>
              <w:right w:val="single" w:color="auto" w:sz="4" w:space="0"/>
            </w:tcBorders>
            <w:shd w:val="clear" w:color="auto" w:fill="auto"/>
            <w:noWrap/>
            <w:vAlign w:val="center"/>
          </w:tcPr>
          <w:p w14:paraId="5FDD4D6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萃茶机</w:t>
            </w:r>
          </w:p>
        </w:tc>
        <w:tc>
          <w:tcPr>
            <w:tcW w:w="850" w:type="dxa"/>
            <w:tcBorders>
              <w:top w:val="nil"/>
              <w:left w:val="nil"/>
              <w:bottom w:val="single" w:color="auto" w:sz="4" w:space="0"/>
              <w:right w:val="single" w:color="auto" w:sz="4" w:space="0"/>
            </w:tcBorders>
            <w:shd w:val="clear" w:color="auto" w:fill="auto"/>
            <w:vAlign w:val="center"/>
          </w:tcPr>
          <w:p w14:paraId="2CB5A858">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高效研发多样化茶饮新品并推动标准化落地</w:t>
            </w:r>
          </w:p>
        </w:tc>
        <w:tc>
          <w:tcPr>
            <w:tcW w:w="674" w:type="dxa"/>
            <w:tcBorders>
              <w:top w:val="nil"/>
              <w:left w:val="nil"/>
              <w:bottom w:val="single" w:color="auto" w:sz="4" w:space="0"/>
              <w:right w:val="single" w:color="auto" w:sz="4" w:space="0"/>
            </w:tcBorders>
            <w:shd w:val="clear" w:color="auto" w:fill="auto"/>
            <w:noWrap/>
            <w:vAlign w:val="center"/>
          </w:tcPr>
          <w:p w14:paraId="6F55B62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801" w:type="dxa"/>
            <w:tcBorders>
              <w:top w:val="nil"/>
              <w:left w:val="nil"/>
              <w:bottom w:val="single" w:color="auto" w:sz="4" w:space="0"/>
              <w:right w:val="single" w:color="auto" w:sz="4" w:space="0"/>
            </w:tcBorders>
            <w:shd w:val="clear" w:color="auto" w:fill="auto"/>
            <w:noWrap/>
            <w:vAlign w:val="center"/>
          </w:tcPr>
          <w:p w14:paraId="0F14F28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国产</w:t>
            </w:r>
          </w:p>
        </w:tc>
        <w:tc>
          <w:tcPr>
            <w:tcW w:w="2703" w:type="dxa"/>
            <w:tcBorders>
              <w:top w:val="nil"/>
              <w:left w:val="nil"/>
              <w:bottom w:val="single" w:color="auto" w:sz="4" w:space="0"/>
              <w:right w:val="single" w:color="auto" w:sz="4" w:space="0"/>
            </w:tcBorders>
            <w:shd w:val="clear" w:color="auto" w:fill="auto"/>
            <w:vAlign w:val="center"/>
          </w:tcPr>
          <w:p w14:paraId="7A294F8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1.配置要求</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1.1配置1个屏幕：10.1寸操作屏（鸿蒙、安卓、苹果等）</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1.2茶盒2个，容量500g；</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1.3磨茶机2个，萃取器容粉量6-18g；</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1.4水箱1个，容量≥4L</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1.5渣盒35块（10g），出口高度175±10mm；</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1.6配置2个锅炉，容量≥750mL；</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1.7总功率：2500-3500W，220V-240V，50HZ；</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1.8整体尺寸（深*宽*高）≥560*≥380*≥690；</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2.功能要求：</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2.1研磨精度±0.5g；</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2.2研磨速度≤8g/s；</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2.3十段冲泡；</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2.4智能排空；</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3.性能测试：</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3.1研磨落粉测试 （以连续测试180杯为例）</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Brix 目标值±0.5  误差合格率≥83%；</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Brix 目标值±1  误差合格率≥98%；</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3.2杯量&amp;时间&amp;温度测试（以500ml为例）</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420±10g 通过率≥99.9%，420±5g通过率≥85%；</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50±5s 通过率≥98.0%；</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   80±5℃ 通过率100%。 </w:t>
            </w:r>
          </w:p>
        </w:tc>
        <w:tc>
          <w:tcPr>
            <w:tcW w:w="3335" w:type="dxa"/>
            <w:tcBorders>
              <w:top w:val="nil"/>
              <w:left w:val="nil"/>
              <w:bottom w:val="single" w:color="auto" w:sz="4" w:space="0"/>
              <w:right w:val="single" w:color="auto" w:sz="4" w:space="0"/>
            </w:tcBorders>
            <w:shd w:val="clear" w:color="auto" w:fill="auto"/>
            <w:vAlign w:val="center"/>
          </w:tcPr>
          <w:p w14:paraId="74D59D8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 为保障设备在买方的正常稳定运行，卖方必须提供设备终生售后服务，其中，质保期（付款之日起算）内提供无偿维修保养服务。设备在质保期内出现的任何故障或应用问题，卖方按合同约定予以解决，不收取任何费用。备品备件质保期180天，以到货验收之日算起，质保期内出现质量问题，卖方免费予以维修或调换，以首次下达订单之日起，在约定到货周期内完成，否则视为逾期到货。</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 设备安装和培训：</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2.1 设备到货后5天（节假日不顺延）内安装完毕；</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2.2 设备到货后10天（节假日不顺延）内具备启用条件，包括硬件安装、软件设置、人员操作技能、常见问题解决能力。</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2.3 设备到货后20天（节假日不顺延）内投入使用。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2.4 设备安装完毕，必须对买方操作人员培训，保证操作人员正确操作设备。</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2.5 设备质保期内，卖方每年提供2次的正式培训服务给买方，培训时间、培训内容、培训方式由双方协商确定。</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 售后服务范围界别：</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3.1 售后服务范围包括设备硬件和软件维修、操作和维修培训、异常问题指导解决、新方法开发和应用指导。</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3.2 购买整套设备时，卖方需按表格内容提供设备所需备件及备品价格及优惠政策给买方。由卖方列明细表在合同签订时说明，保证备件、软件和服务识别代码、属性和特征唯一，不能用文字表述清楚时，需附图纸、照片、影像等资料加以补充。</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3.3 质保期后，备品备件和软件购置执行本合同价格和优惠政策。价格浮动超过±20%需要调整时需提供充分证明文件，经买方确认并同意后方可调整价格。单价大于1万元备件，优先修复使用，不能修复时再行购置，备件购置优先折价后以旧换新。卖方无特别优惠政策时，备品备件按卖方标准报价的**折提供给买方，且享有优先发货服务。</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 售后服务工时：</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4.1 远程技术支持：买方有技术疑问，可致电0471-3315978咨询，卖方安排专业技术人员在4小时内予以回复，在24小时内指导买方解决故障或疑问。</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4.2 现场售后服务：远程技术支持未能在约定时限内解决问题或问题未能根除，卖方需安排专业技术人员在接到客户方致电后2-5工作日（含前期远程技术支持时间）内到达现场进行售后服务：</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原因明确的简单故障或应用问题，需在到现场后1个工作日内处理完毕；原因明确的复杂故障或应用问题，需在到现场后的连续2个工作日内处理完毕；原因不明确的故障或应用问题，需与买方约定售后服务时间，但用时最长不超过连续5个工作日。</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4.3 在质保期内，设备未出现报修，卖方需提供不少于2次日常维护保养及参数校正，单价大于10万元设备，必须提供现场服务，且单次工作不少于1个工作日。</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 售后服务过程约定：</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5.1 现场售后服务过程中，卖方不得破坏买方基础设施、临近的其它设备及本设备中单独付费的备件和耗品，造成损失时，卖方按实际损失进行赔偿买方。</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5.2 因买方设备使用场所为共用区域，售后服务过程中，卖方需妥善保管拆解下的备件和各类工具，避免丢失或损坏，因保管不善导致的丢失，卖方按实际损失赔偿买方。</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5.3 卖方有权要求买方指定专人对接售后服务工作，过程中可协调提供水、电、气、工具、器具、纸张等便利条件，但不得浪费资源。</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5.4 买方可现场学习设备维修方法和应用方法，卖方不得保密。</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5.5 售后服务过程中发现或出现其它故障隐患或应用问题，卖需一并解决，工时可协商适当延长，但不得要求买方另行报修。</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 售后服务验收标准：</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6.1 售后服务结果验收报告由买卖双方签字确认，验收内容包括但不限于故障维修过程摘要、更换备件明细、整机运行效果、结果准确性、设备稳定性、运行参数规范性，设备能正常运行并且保证数据准确。若买方对验收结果有异议可增加验收项目。</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6.2 设备若存在两个及以上故障或应用问题，需单独验收合格后再做整体验收。在维修过程中更换备件需买方签字确认。未经买方签字确认的备件，买方有权不予付款。</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6.3 设备出现质量问题且在约定时间内无法维修正常使用的，无偿提供备用机，直至原机正常使用为止。</w:t>
            </w:r>
          </w:p>
        </w:tc>
      </w:tr>
    </w:tbl>
    <w:p w14:paraId="26F6390A">
      <w:pPr>
        <w:rPr>
          <w:rFonts w:ascii="仿宋" w:hAnsi="仿宋" w:eastAsia="仿宋" w:cs="仿宋"/>
          <w:color w:val="auto"/>
          <w:highlight w:val="none"/>
        </w:rPr>
      </w:pPr>
      <w:r>
        <w:rPr>
          <w:rFonts w:hint="eastAsia" w:ascii="仿宋" w:hAnsi="仿宋" w:eastAsia="仿宋" w:cs="仿宋"/>
          <w:color w:val="auto"/>
          <w:sz w:val="24"/>
          <w:highlight w:val="none"/>
        </w:rPr>
        <w:t>备注：投标商必须满足标段内所有设备视为有效报名且标注“*”的为必须满足项。</w:t>
      </w:r>
    </w:p>
    <w:p w14:paraId="29F2B822">
      <w:pPr>
        <w:rPr>
          <w:rFonts w:ascii="仿宋" w:hAnsi="仿宋" w:eastAsia="仿宋" w:cs="仿宋"/>
          <w:color w:val="auto"/>
          <w:highlight w:val="none"/>
        </w:rPr>
      </w:pPr>
    </w:p>
    <w:p w14:paraId="59ED15BC">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四、资格要求：</w:t>
      </w:r>
    </w:p>
    <w:p w14:paraId="3EDC7FF2">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必须是在中华人民共和国境内注册的具有独立法人资格的企业单位，注册资金达到500万元人民币及以上（外币按注册时汇率计算），有能力履行竞谈内容要求和提供竞谈货物及服务，经营范围包含设备生产、设备销售、技术开发等任意一项内容。</w:t>
      </w:r>
    </w:p>
    <w:p w14:paraId="3FAECD9A">
      <w:pPr>
        <w:pStyle w:val="2"/>
        <w:ind w:firstLine="560" w:firstLineChars="200"/>
        <w:rPr>
          <w:rFonts w:ascii="仿宋" w:hAnsi="仿宋" w:eastAsia="仿宋" w:cs="仿宋"/>
          <w:color w:val="auto"/>
          <w:highlight w:val="none"/>
        </w:rPr>
      </w:pPr>
      <w:r>
        <w:rPr>
          <w:rFonts w:hint="eastAsia" w:ascii="仿宋" w:hAnsi="仿宋" w:eastAsia="仿宋" w:cs="仿宋"/>
          <w:color w:val="auto"/>
          <w:sz w:val="28"/>
          <w:szCs w:val="28"/>
          <w:highlight w:val="none"/>
        </w:rPr>
        <w:t>2、投标人须具有开户行许可证或基本存款账户信息。</w:t>
      </w:r>
    </w:p>
    <w:p w14:paraId="5E4D8F26">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3、投标人须具备一般纳税人资格，能开具税率13%的增值税专用发票。</w:t>
      </w:r>
    </w:p>
    <w:p w14:paraId="3080C633">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4、投标人须为所投标设备的设备厂商或授权代理商。</w:t>
      </w:r>
    </w:p>
    <w:p w14:paraId="054DCA4B">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5、投标人2022-至今须具有至少一个类似项目业绩（以合同为准）。</w:t>
      </w:r>
    </w:p>
    <w:p w14:paraId="0D6D5F1F">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6、投标人须具有2022年、2023年、2024年的财务报表。</w:t>
      </w:r>
    </w:p>
    <w:p w14:paraId="2989DFBE">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7、投标人须具备所投设备的技术文件（包括彩页、说明书等）。</w:t>
      </w:r>
    </w:p>
    <w:p w14:paraId="23158801">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8、投标人若是授权代理商，须具备所投设备的正品承诺书。</w:t>
      </w:r>
    </w:p>
    <w:p w14:paraId="68E0BA63">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9、投标人须具备能提供售后服务，有专业人员协助解决质量问题的售后服务。</w:t>
      </w:r>
    </w:p>
    <w:p w14:paraId="5786CD8D">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10、投标人须具备近一年任意三个月的单位社保缴纳及依法纳税缴纳证明材料。</w:t>
      </w:r>
    </w:p>
    <w:p w14:paraId="46C7CF9D">
      <w:pPr>
        <w:wordWrap w:val="0"/>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11、投标人未被列入国家企业信用信息公示系统（</w:t>
      </w:r>
      <w:r>
        <w:rPr>
          <w:color w:val="auto"/>
          <w:highlight w:val="none"/>
        </w:rPr>
        <w:fldChar w:fldCharType="begin"/>
      </w:r>
      <w:r>
        <w:rPr>
          <w:color w:val="auto"/>
          <w:highlight w:val="none"/>
        </w:rPr>
        <w:instrText xml:space="preserve"> HYPERLINK "http://www.gsxt.gov.cn/index.html%EF%BC%89%E4%B8%A5%E9%87%8D%E8%BF%9D%E6%B3%95%E5%A4%B1%E4%BF%A1%E4%BC%81%E4%B8%9A%E5%90%8D%E5%8D%95" \t "_blank" </w:instrText>
      </w:r>
      <w:r>
        <w:rPr>
          <w:color w:val="auto"/>
          <w:highlight w:val="none"/>
        </w:rPr>
        <w:fldChar w:fldCharType="separate"/>
      </w:r>
      <w:r>
        <w:rPr>
          <w:rFonts w:hint="eastAsia" w:ascii="仿宋" w:hAnsi="仿宋" w:eastAsia="仿宋" w:cs="仿宋"/>
          <w:color w:val="auto"/>
          <w:sz w:val="28"/>
          <w:szCs w:val="28"/>
          <w:highlight w:val="none"/>
        </w:rPr>
        <w:t>http://www.gsxt.gov.cn/index.html）严重违法失信企业名单</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p>
    <w:p w14:paraId="1CEFC794">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41B7887A">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13、本次竞谈项目不接受多家单位联合报价，不允许分包或转包。</w:t>
      </w:r>
    </w:p>
    <w:p w14:paraId="1EC91DB1">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14、不接受中粮及蒙牛供应商黑名单（以蒙牛集团采购招标管理部下发的黑名单为准）的企业参与竞争。</w:t>
      </w:r>
    </w:p>
    <w:p w14:paraId="3B631233">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注：不符合上述条件的投标方，不予报名，未按照要求提供材料的直接取消相应评标资格。</w:t>
      </w:r>
    </w:p>
    <w:p w14:paraId="78EE53E7">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流程：公告发布-投标商报名-商务资格预审-技术审核-商务谈判-合同签订</w:t>
      </w:r>
    </w:p>
    <w:p w14:paraId="3FEEDA3E">
      <w:pPr>
        <w:adjustRightInd w:val="0"/>
        <w:snapToGrid w:val="0"/>
        <w:spacing w:line="360" w:lineRule="auto"/>
        <w:ind w:firstLine="562" w:firstLineChars="200"/>
        <w:jc w:val="left"/>
        <w:rPr>
          <w:rFonts w:ascii="仿宋" w:hAnsi="仿宋" w:eastAsia="仿宋" w:cs="仿宋"/>
          <w:b/>
          <w:i/>
          <w:color w:val="auto"/>
          <w:sz w:val="28"/>
          <w:szCs w:val="28"/>
          <w:highlight w:val="none"/>
        </w:rPr>
      </w:pPr>
      <w:r>
        <w:rPr>
          <w:rFonts w:hint="eastAsia" w:ascii="仿宋" w:hAnsi="仿宋" w:eastAsia="仿宋" w:cs="仿宋"/>
          <w:b/>
          <w:color w:val="auto"/>
          <w:sz w:val="28"/>
          <w:szCs w:val="28"/>
          <w:highlight w:val="none"/>
        </w:rPr>
        <w:t>五、报名须知：</w:t>
      </w:r>
    </w:p>
    <w:p w14:paraId="1D823439">
      <w:pPr>
        <w:wordWrap w:val="0"/>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潜在投标人依据资格要求自主评估，符合条件的进行网上报名及资格验证，蒙牛集团供应链关系管理平台网址：</w:t>
      </w:r>
      <w:r>
        <w:rPr>
          <w:color w:val="auto"/>
          <w:highlight w:val="none"/>
        </w:rPr>
        <w:fldChar w:fldCharType="begin"/>
      </w:r>
      <w:r>
        <w:rPr>
          <w:color w:val="auto"/>
          <w:highlight w:val="none"/>
        </w:rPr>
        <w:instrText xml:space="preserve"> HYPERLINK "https://srm.mengniu.cn/sap/bc/webdynpro/sap/zregistration" \t "_blank" </w:instrText>
      </w:r>
      <w:r>
        <w:rPr>
          <w:color w:val="auto"/>
          <w:highlight w:val="none"/>
        </w:rPr>
        <w:fldChar w:fldCharType="separate"/>
      </w:r>
      <w:r>
        <w:rPr>
          <w:rFonts w:hint="eastAsia" w:ascii="仿宋" w:hAnsi="仿宋" w:eastAsia="仿宋" w:cs="仿宋"/>
          <w:color w:val="auto"/>
          <w:sz w:val="28"/>
          <w:szCs w:val="28"/>
          <w:highlight w:val="none"/>
        </w:rPr>
        <w:t>https://srm.mengniu.cn/sap/bc/webdynpro/sap/zregistration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，请先阅读服务手册，平台服务支持电话为4008108111.（投标人报名时须将报名资料盖章扫描上传到平台中）</w:t>
      </w:r>
    </w:p>
    <w:p w14:paraId="64D18B3C">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1、报名资格文件的</w:t>
      </w:r>
      <w:r>
        <w:rPr>
          <w:rFonts w:hint="eastAsia" w:ascii="仿宋" w:hAnsi="仿宋" w:eastAsia="仿宋" w:cs="仿宋"/>
          <w:color w:val="auto"/>
          <w:sz w:val="28"/>
          <w:szCs w:val="28"/>
          <w:highlight w:val="none"/>
          <w:u w:val="single"/>
        </w:rPr>
        <w:t>组成及顺序</w:t>
      </w:r>
      <w:r>
        <w:rPr>
          <w:rFonts w:hint="eastAsia" w:ascii="仿宋" w:hAnsi="仿宋" w:eastAsia="仿宋" w:cs="仿宋"/>
          <w:color w:val="auto"/>
          <w:sz w:val="28"/>
          <w:szCs w:val="28"/>
          <w:highlight w:val="none"/>
        </w:rPr>
        <w:t>按照如下要求提供：</w:t>
      </w:r>
    </w:p>
    <w:p w14:paraId="3759D909">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（1）有效的</w:t>
      </w:r>
      <w:bookmarkStart w:id="0" w:name="OLE_LINK70"/>
      <w:bookmarkStart w:id="1" w:name="OLE_LINK69"/>
      <w:r>
        <w:rPr>
          <w:rFonts w:hint="eastAsia" w:ascii="仿宋" w:hAnsi="仿宋" w:eastAsia="仿宋" w:cs="仿宋"/>
          <w:color w:val="auto"/>
          <w:sz w:val="28"/>
          <w:szCs w:val="28"/>
          <w:highlight w:val="none"/>
        </w:rPr>
        <w:t>营业执照</w:t>
      </w:r>
      <w:bookmarkEnd w:id="0"/>
      <w:bookmarkEnd w:id="1"/>
      <w:r>
        <w:rPr>
          <w:rFonts w:hint="eastAsia" w:ascii="仿宋" w:hAnsi="仿宋" w:eastAsia="仿宋" w:cs="仿宋"/>
          <w:color w:val="auto"/>
          <w:sz w:val="28"/>
          <w:szCs w:val="28"/>
          <w:highlight w:val="none"/>
        </w:rPr>
        <w:t>（副本）、有效的开户行许可证或基本存款账户信息。</w:t>
      </w:r>
    </w:p>
    <w:p w14:paraId="5E1ADAC9">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（2）提供法定代表人证明书或授权委托书原件；</w:t>
      </w:r>
    </w:p>
    <w:p w14:paraId="362DA064">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备注：法定代表人须上传法定代表人证明材料及身份证扫描件，若为法定代表人的授权委托人须上传一份法人授权委托书和身份证原件及授权委托人近一年内在本单位的社保证明材料。</w:t>
      </w:r>
    </w:p>
    <w:p w14:paraId="74D3305C">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（3）提供一般纳税人认定资格证明材料及提供已开出税率13%的增值税专用发票复印件。</w:t>
      </w:r>
    </w:p>
    <w:p w14:paraId="0C985E4E">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（4）提供所投标设备的设备厂商的承诺书，若是授权代理商需提供所投货物生产制造商出具的书面授权书。</w:t>
      </w:r>
    </w:p>
    <w:p w14:paraId="291A705B">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（5）提供本企业2022年至今至少1个类似项目的业绩证明材料（以合同为准）。</w:t>
      </w:r>
    </w:p>
    <w:p w14:paraId="6E13360E">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（6）提供本企业2022年、2023年、2024年的财务报表。</w:t>
      </w:r>
    </w:p>
    <w:p w14:paraId="57E08611">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（7）提供本企业所投设备的技术文件（包括彩页、说明书等）。</w:t>
      </w:r>
    </w:p>
    <w:p w14:paraId="2B9054F5">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（8）投标人若是授权代理商，须提供所投设备的正品承诺书。</w:t>
      </w:r>
    </w:p>
    <w:p w14:paraId="7340C2EC">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（9）提供本企业能提供售后服务，有专业人员协助解决质量问题的售后服务承诺书。</w:t>
      </w:r>
    </w:p>
    <w:p w14:paraId="521DF91C">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（10）提供本企业近一年任意三个月的单位社保缴纳及依法纳税缴纳证明材料。</w:t>
      </w:r>
    </w:p>
    <w:p w14:paraId="29BB2EC9">
      <w:pPr>
        <w:wordWrap w:val="0"/>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（11）提供本企业未被列入国家企业信用信息公示系统（http://www.gsxt.gov.cn/index.html）严重违法失信企业名单的证明材料。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（12）提供保密承诺书。（附件2）</w:t>
      </w:r>
    </w:p>
    <w:p w14:paraId="2D963513">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（13）提供非联合体形式参与，及如中标本项目不进行分包或转包承诺书。（附件3）</w:t>
      </w:r>
    </w:p>
    <w:p w14:paraId="3B03BE99">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（14）提供关于聘用蒙牛在职人员亲属（含特定关系人）及离职人员的告知函。（附件4）</w:t>
      </w:r>
    </w:p>
    <w:p w14:paraId="29E0B5F7">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（15）其他需要提供的相关专业文件材料。</w:t>
      </w:r>
    </w:p>
    <w:p w14:paraId="64A5F150">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本项目采用全流程电子化招标采购方式，以上各类证书、证明材料应为原件的复印件，且</w:t>
      </w:r>
      <w:r>
        <w:rPr>
          <w:rFonts w:hint="eastAsia" w:ascii="仿宋" w:hAnsi="仿宋" w:eastAsia="仿宋" w:cs="仿宋"/>
          <w:b/>
          <w:bCs/>
          <w:color w:val="auto"/>
          <w:sz w:val="28"/>
          <w:szCs w:val="28"/>
          <w:highlight w:val="none"/>
        </w:rPr>
        <w:t>逐页加盖公章</w:t>
      </w:r>
      <w:r>
        <w:rPr>
          <w:rFonts w:hint="eastAsia" w:ascii="仿宋" w:hAnsi="仿宋" w:eastAsia="仿宋" w:cs="仿宋"/>
          <w:color w:val="auto"/>
          <w:sz w:val="28"/>
          <w:szCs w:val="28"/>
          <w:highlight w:val="none"/>
        </w:rPr>
        <w:t>，并于报名截止时间前在“蒙牛集团电子采购招标平台（https://zbcg.mengniu.cn/#/home ）”进行线上提交，进行资格审查（过期提交不予受理），审查合格后方可购买谈判文件（仅作为发放谈判文件的依据）。</w:t>
      </w:r>
    </w:p>
    <w:p w14:paraId="1FD4F391">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资料提供不全或者未按时间要求提报的将被拒绝接收，所提供的资质、业绩文件中如有虚假情况，一经发现将被取消竞谈资格。</w:t>
      </w:r>
    </w:p>
    <w:p w14:paraId="5A6D2FBD">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56C52E87">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2、报名方式：</w:t>
      </w:r>
    </w:p>
    <w:p w14:paraId="4A9AFFEA">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1C1A7D1">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六、项目时间安排及要求：</w:t>
      </w:r>
    </w:p>
    <w:p w14:paraId="24D7BB37">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1、报名时间：</w:t>
      </w:r>
      <w:r>
        <w:rPr>
          <w:rFonts w:hint="eastAsia" w:ascii="仿宋" w:hAnsi="仿宋" w:eastAsia="仿宋" w:cs="仿宋"/>
          <w:color w:val="auto"/>
          <w:sz w:val="28"/>
          <w:szCs w:val="28"/>
          <w:highlight w:val="none"/>
          <w:u w:val="single"/>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27</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rPr>
        <w:t>日</w:t>
      </w:r>
    </w:p>
    <w:p w14:paraId="50874F7C">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2、资格预审时间：</w:t>
      </w:r>
      <w:r>
        <w:rPr>
          <w:rFonts w:hint="eastAsia" w:ascii="仿宋" w:hAnsi="仿宋" w:eastAsia="仿宋" w:cs="仿宋"/>
          <w:color w:val="auto"/>
          <w:sz w:val="28"/>
          <w:szCs w:val="28"/>
          <w:highlight w:val="none"/>
          <w:u w:val="single"/>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27</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04</w:t>
      </w:r>
      <w:r>
        <w:rPr>
          <w:rFonts w:hint="eastAsia" w:ascii="仿宋" w:hAnsi="仿宋" w:eastAsia="仿宋" w:cs="仿宋"/>
          <w:color w:val="auto"/>
          <w:sz w:val="28"/>
          <w:szCs w:val="28"/>
          <w:highlight w:val="none"/>
        </w:rPr>
        <w:t>日</w:t>
      </w:r>
    </w:p>
    <w:p w14:paraId="5874BAB1">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3、谈判文件发售时间：</w:t>
      </w:r>
      <w:r>
        <w:rPr>
          <w:rFonts w:hint="eastAsia" w:ascii="仿宋" w:hAnsi="仿宋" w:eastAsia="仿宋" w:cs="仿宋"/>
          <w:color w:val="auto"/>
          <w:sz w:val="28"/>
          <w:szCs w:val="28"/>
          <w:highlight w:val="none"/>
          <w:u w:val="single"/>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05</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06</w:t>
      </w:r>
      <w:r>
        <w:rPr>
          <w:rFonts w:hint="eastAsia" w:ascii="仿宋" w:hAnsi="仿宋" w:eastAsia="仿宋" w:cs="仿宋"/>
          <w:color w:val="auto"/>
          <w:sz w:val="28"/>
          <w:szCs w:val="28"/>
          <w:highlight w:val="none"/>
        </w:rPr>
        <w:t>日发售谈判文件，谈判文件每套/每标段售价：人民币</w:t>
      </w:r>
      <w:r>
        <w:rPr>
          <w:rFonts w:hint="eastAsia" w:ascii="仿宋" w:hAnsi="仿宋" w:eastAsia="仿宋" w:cs="仿宋"/>
          <w:color w:val="auto"/>
          <w:sz w:val="28"/>
          <w:szCs w:val="28"/>
          <w:highlight w:val="none"/>
          <w:u w:val="single"/>
        </w:rPr>
        <w:t>200</w:t>
      </w:r>
      <w:r>
        <w:rPr>
          <w:rFonts w:hint="eastAsia" w:ascii="仿宋" w:hAnsi="仿宋" w:eastAsia="仿宋" w:cs="仿宋"/>
          <w:color w:val="auto"/>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具体汇款信息如下：</w:t>
      </w:r>
    </w:p>
    <w:p w14:paraId="67F621AA">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开户银行：兴业银行有限公司呼和浩特巨海城支行</w:t>
      </w:r>
    </w:p>
    <w:p w14:paraId="7B7A903D">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开户银行账号：592120100100101521</w:t>
      </w:r>
    </w:p>
    <w:p w14:paraId="4D7B0497">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开户银行行号：309191002120</w:t>
      </w:r>
    </w:p>
    <w:p w14:paraId="66A4C0E0">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4、谈判时间：</w:t>
      </w:r>
      <w:r>
        <w:rPr>
          <w:rFonts w:hint="eastAsia" w:ascii="仿宋" w:hAnsi="仿宋" w:eastAsia="仿宋" w:cs="仿宋"/>
          <w:color w:val="auto"/>
          <w:sz w:val="28"/>
          <w:szCs w:val="28"/>
          <w:highlight w:val="none"/>
          <w:u w:val="single"/>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1</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u w:val="single"/>
        </w:rPr>
        <w:t>30</w:t>
      </w:r>
      <w:r>
        <w:rPr>
          <w:rFonts w:hint="eastAsia" w:ascii="仿宋" w:hAnsi="仿宋" w:eastAsia="仿宋" w:cs="仿宋"/>
          <w:color w:val="auto"/>
          <w:sz w:val="28"/>
          <w:szCs w:val="28"/>
          <w:highlight w:val="none"/>
        </w:rPr>
        <w:t>分（以发出的谈判文件为准）</w:t>
      </w:r>
    </w:p>
    <w:p w14:paraId="536883A2">
      <w:pPr>
        <w:adjustRightInd w:val="0"/>
        <w:snapToGrid w:val="0"/>
        <w:spacing w:line="360" w:lineRule="auto"/>
        <w:ind w:firstLine="562" w:firstLineChars="200"/>
        <w:jc w:val="left"/>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七、谈判地点：</w:t>
      </w:r>
      <w:r>
        <w:rPr>
          <w:rFonts w:hint="eastAsia" w:ascii="仿宋" w:hAnsi="仿宋" w:eastAsia="仿宋" w:cs="仿宋"/>
          <w:bCs/>
          <w:color w:val="auto"/>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八、发布媒体：</w:t>
      </w:r>
    </w:p>
    <w:p w14:paraId="67C61BF7">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中国采购与招标网大数据平台（</w:t>
      </w:r>
      <w:r>
        <w:rPr>
          <w:color w:val="auto"/>
          <w:highlight w:val="none"/>
        </w:rPr>
        <w:fldChar w:fldCharType="begin"/>
      </w:r>
      <w:r>
        <w:rPr>
          <w:color w:val="auto"/>
          <w:highlight w:val="none"/>
        </w:rPr>
        <w:instrText xml:space="preserve"> HYPERLINK "https://www.chinabidding.cn/" </w:instrText>
      </w:r>
      <w:r>
        <w:rPr>
          <w:color w:val="auto"/>
          <w:highlight w:val="none"/>
        </w:rPr>
        <w:fldChar w:fldCharType="separate"/>
      </w:r>
      <w:r>
        <w:rPr>
          <w:rFonts w:hint="eastAsia" w:ascii="仿宋" w:hAnsi="仿宋" w:eastAsia="仿宋" w:cs="仿宋"/>
          <w:color w:val="auto"/>
          <w:sz w:val="28"/>
          <w:szCs w:val="28"/>
          <w:highlight w:val="none"/>
        </w:rPr>
        <w:t>https://www.chinabidding.cn/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p>
    <w:p w14:paraId="3C377AEB">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蒙牛集团电子采购招标平台（https://zbcg.mengniu.cn/#/home)</w:t>
      </w:r>
    </w:p>
    <w:p w14:paraId="619260AC">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蒙牛官网（http://www.mengniu.com.cn）</w:t>
      </w:r>
    </w:p>
    <w:p w14:paraId="26CE9BFD">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蒙牛内部OA平台</w:t>
      </w:r>
    </w:p>
    <w:p w14:paraId="54608EFF">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此公告只在以上平台发布，其他任何媒体转载无效。</w:t>
      </w:r>
    </w:p>
    <w:p w14:paraId="3C420BDA">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九、采购招标实施方及联系方式：</w:t>
      </w:r>
    </w:p>
    <w:p w14:paraId="24D97B63">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采购人：内蒙古蒙牛乳业(集团)股份有限公司</w:t>
      </w:r>
    </w:p>
    <w:p w14:paraId="47D6B2EA">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业务咨询联系人：王俊霞</w:t>
      </w:r>
    </w:p>
    <w:p w14:paraId="61443CE2">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联系方式：15849339778</w:t>
      </w:r>
    </w:p>
    <w:p w14:paraId="31CB4012">
      <w:p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十、招标代理公司及联系方式：</w:t>
      </w:r>
    </w:p>
    <w:p w14:paraId="29F4E047">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采购代理公司：内蒙古华晟工程项目管理有限公司</w:t>
      </w:r>
    </w:p>
    <w:p w14:paraId="39EE7E21">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报名联系人：李剑桥（15124742393）/兰波（15847106012）/赵博（18147132014）</w:t>
      </w:r>
    </w:p>
    <w:p w14:paraId="3AF1351F">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联系电话：0471-3957849/4918085-8043</w:t>
      </w:r>
    </w:p>
    <w:p w14:paraId="76B033E0">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r>
        <w:rPr>
          <w:color w:val="auto"/>
          <w:highlight w:val="none"/>
        </w:rPr>
        <w:fldChar w:fldCharType="begin"/>
      </w:r>
      <w:r>
        <w:rPr>
          <w:color w:val="auto"/>
          <w:highlight w:val="none"/>
        </w:rPr>
        <w:instrText xml:space="preserve"> HYPERLINK "mailto:niuben@nmghuasheng.com" </w:instrText>
      </w:r>
      <w:r>
        <w:rPr>
          <w:color w:val="auto"/>
          <w:highlight w:val="none"/>
        </w:rPr>
        <w:fldChar w:fldCharType="separate"/>
      </w:r>
      <w:r>
        <w:rPr>
          <w:rFonts w:hint="eastAsia" w:ascii="仿宋" w:hAnsi="仿宋" w:eastAsia="仿宋" w:cs="仿宋"/>
          <w:color w:val="auto"/>
          <w:sz w:val="28"/>
          <w:szCs w:val="28"/>
          <w:highlight w:val="none"/>
        </w:rPr>
        <w:t>lijianqiao@nmghuasheng.com</w:t>
      </w:r>
      <w:r>
        <w:rPr>
          <w:rFonts w:hint="eastAsia" w:ascii="仿宋" w:hAnsi="仿宋" w:eastAsia="仿宋" w:cs="仿宋"/>
          <w:color w:val="auto"/>
          <w:sz w:val="28"/>
          <w:szCs w:val="28"/>
          <w:highlight w:val="none"/>
        </w:rPr>
        <w:fldChar w:fldCharType="end"/>
      </w:r>
    </w:p>
    <w:p w14:paraId="162DCF52">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联系地址：内蒙古自治区呼和浩特市赛罕区锡林南路盈嘉国际综合楼27层</w:t>
      </w:r>
    </w:p>
    <w:p w14:paraId="6B801C41">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十一、监督单位及联系方式：</w:t>
      </w:r>
    </w:p>
    <w:p w14:paraId="5B526B97">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监 督 人：薛海燕</w:t>
      </w:r>
    </w:p>
    <w:p w14:paraId="67F07EF1">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联系电话：15034952008</w:t>
      </w:r>
    </w:p>
    <w:p w14:paraId="6D2EA282">
      <w:pPr>
        <w:adjustRightInd w:val="0"/>
        <w:snapToGrid w:val="0"/>
        <w:spacing w:line="360" w:lineRule="auto"/>
        <w:ind w:firstLine="560" w:firstLineChars="200"/>
        <w:jc w:val="left"/>
        <w:rPr>
          <w:rStyle w:val="14"/>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rPr>
        <w:t>电子邮件：xuehaiyan@mengniu.cn</w:t>
      </w:r>
    </w:p>
    <w:p w14:paraId="363915F5">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监 督 人：张丽娜</w:t>
      </w:r>
    </w:p>
    <w:p w14:paraId="2ED85458">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联系电话：0471-7393612</w:t>
      </w:r>
    </w:p>
    <w:p w14:paraId="142CF163">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受理范围：采购招标</w:t>
      </w:r>
      <w:bookmarkStart w:id="2" w:name="OLE_LINK1"/>
      <w:r>
        <w:rPr>
          <w:rFonts w:hint="eastAsia" w:ascii="仿宋" w:hAnsi="仿宋" w:eastAsia="仿宋" w:cs="仿宋"/>
          <w:color w:val="auto"/>
          <w:sz w:val="28"/>
          <w:szCs w:val="28"/>
          <w:highlight w:val="none"/>
        </w:rPr>
        <w:t>执行过程中涉嫌</w:t>
      </w:r>
      <w:bookmarkEnd w:id="2"/>
      <w:r>
        <w:rPr>
          <w:rFonts w:hint="eastAsia" w:ascii="仿宋" w:hAnsi="仿宋" w:eastAsia="仿宋" w:cs="仿宋"/>
          <w:color w:val="auto"/>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ascii="仿宋" w:hAnsi="仿宋" w:eastAsia="仿宋" w:cs="仿宋"/>
          <w:color w:val="auto"/>
          <w:sz w:val="28"/>
          <w:szCs w:val="28"/>
          <w:highlight w:val="none"/>
        </w:rPr>
      </w:pPr>
    </w:p>
    <w:p w14:paraId="710F5CBB">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p>
    <w:p w14:paraId="4D0F5C0E">
      <w:pPr>
        <w:adjustRightInd w:val="0"/>
        <w:snapToGrid w:val="0"/>
        <w:spacing w:line="360" w:lineRule="auto"/>
        <w:ind w:left="420" w:left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1、法人证明、授权人证明</w:t>
      </w:r>
    </w:p>
    <w:p w14:paraId="5F949644">
      <w:pPr>
        <w:adjustRightInd w:val="0"/>
        <w:snapToGrid w:val="0"/>
        <w:spacing w:line="360" w:lineRule="auto"/>
        <w:ind w:left="420" w:left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2、保密承诺书</w:t>
      </w:r>
    </w:p>
    <w:p w14:paraId="2938A716">
      <w:pPr>
        <w:adjustRightInd w:val="0"/>
        <w:snapToGrid w:val="0"/>
        <w:spacing w:line="360" w:lineRule="auto"/>
        <w:ind w:left="420" w:left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3、非联合体竞谈，不分包或转包声明</w:t>
      </w:r>
    </w:p>
    <w:p w14:paraId="65DB02C7">
      <w:pPr>
        <w:adjustRightInd w:val="0"/>
        <w:snapToGrid w:val="0"/>
        <w:spacing w:line="360" w:lineRule="auto"/>
        <w:ind w:left="420" w:left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4、告知函</w:t>
      </w:r>
    </w:p>
    <w:p w14:paraId="2CAE6067">
      <w:pPr>
        <w:adjustRightInd w:val="0"/>
        <w:snapToGrid w:val="0"/>
        <w:spacing w:line="360" w:lineRule="auto"/>
        <w:ind w:firstLine="560" w:firstLineChars="200"/>
        <w:rPr>
          <w:rFonts w:ascii="仿宋" w:hAnsi="仿宋" w:eastAsia="仿宋" w:cs="仿宋"/>
          <w:color w:val="auto"/>
          <w:sz w:val="28"/>
          <w:szCs w:val="28"/>
          <w:highlight w:val="none"/>
        </w:rPr>
      </w:pPr>
    </w:p>
    <w:p w14:paraId="2852A6CF">
      <w:pPr>
        <w:adjustRightInd w:val="0"/>
        <w:snapToGrid w:val="0"/>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采购人：内蒙古蒙牛乳业(集团)股份有限公司</w:t>
      </w:r>
    </w:p>
    <w:p w14:paraId="061DF744">
      <w:pPr>
        <w:adjustRightInd w:val="0"/>
        <w:snapToGrid w:val="0"/>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2025年5月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w:t>
      </w:r>
    </w:p>
    <w:p w14:paraId="2ACDEAE5">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AC9C801">
      <w:pPr>
        <w:adjustRightInd w:val="0"/>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14:paraId="34DE99C2">
      <w:pPr>
        <w:adjustRightInd w:val="0"/>
        <w:snapToGrid w:val="0"/>
        <w:spacing w:line="360" w:lineRule="auto"/>
        <w:ind w:firstLine="562" w:firstLineChars="20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法定代表人身份证明</w:t>
      </w:r>
    </w:p>
    <w:p w14:paraId="5CC8DE0C">
      <w:pPr>
        <w:adjustRightInd w:val="0"/>
        <w:snapToGrid w:val="0"/>
        <w:spacing w:line="360" w:lineRule="auto"/>
        <w:ind w:firstLine="562" w:firstLineChars="200"/>
        <w:jc w:val="center"/>
        <w:rPr>
          <w:rFonts w:ascii="仿宋" w:hAnsi="仿宋" w:eastAsia="仿宋" w:cs="仿宋"/>
          <w:b/>
          <w:color w:val="auto"/>
          <w:sz w:val="28"/>
          <w:szCs w:val="28"/>
          <w:highlight w:val="none"/>
        </w:rPr>
      </w:pPr>
    </w:p>
    <w:p w14:paraId="415F72FD">
      <w:pPr>
        <w:adjustRightInd w:val="0"/>
        <w:snapToGrid w:val="0"/>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w:t>
      </w:r>
      <w:r>
        <w:rPr>
          <w:rFonts w:hint="eastAsia" w:ascii="仿宋" w:hAnsi="仿宋" w:eastAsia="仿宋" w:cs="仿宋"/>
          <w:color w:val="auto"/>
          <w:sz w:val="28"/>
          <w:szCs w:val="28"/>
          <w:highlight w:val="none"/>
          <w:u w:val="single"/>
        </w:rPr>
        <w:t xml:space="preserve">                             </w:t>
      </w:r>
    </w:p>
    <w:p w14:paraId="20B50B2B">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p>
    <w:p w14:paraId="3ECF6428">
      <w:pPr>
        <w:adjustRightInd w:val="0"/>
        <w:snapToGrid w:val="0"/>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w:t>
      </w:r>
    </w:p>
    <w:p w14:paraId="582A8158">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A8DCF2E">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14:paraId="30F69D0D">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系</w:t>
      </w:r>
      <w:r>
        <w:rPr>
          <w:rFonts w:hint="eastAsia" w:ascii="仿宋" w:hAnsi="仿宋" w:eastAsia="仿宋" w:cs="仿宋"/>
          <w:color w:val="auto"/>
          <w:sz w:val="28"/>
          <w:szCs w:val="28"/>
          <w:highlight w:val="none"/>
          <w:u w:val="single"/>
        </w:rPr>
        <w:t>投 标 人 全 称</w:t>
      </w:r>
      <w:r>
        <w:rPr>
          <w:rFonts w:hint="eastAsia" w:ascii="仿宋" w:hAnsi="仿宋" w:eastAsia="仿宋" w:cs="仿宋"/>
          <w:color w:val="auto"/>
          <w:sz w:val="28"/>
          <w:szCs w:val="28"/>
          <w:highlight w:val="none"/>
        </w:rPr>
        <w:t>的法定代表人。</w:t>
      </w:r>
    </w:p>
    <w:p w14:paraId="6FB2AB22">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0F830CB9">
      <w:pPr>
        <w:adjustRightInd w:val="0"/>
        <w:snapToGrid w:val="0"/>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（盖公章）</w:t>
      </w:r>
    </w:p>
    <w:p w14:paraId="357AB9A4">
      <w:pPr>
        <w:adjustRightInd w:val="0"/>
        <w:snapToGrid w:val="0"/>
        <w:spacing w:line="360" w:lineRule="auto"/>
        <w:ind w:firstLine="560" w:firstLineChars="200"/>
        <w:jc w:val="right"/>
        <w:rPr>
          <w:rFonts w:ascii="仿宋" w:hAnsi="仿宋" w:eastAsia="仿宋" w:cs="仿宋"/>
          <w:color w:val="auto"/>
          <w:sz w:val="28"/>
          <w:szCs w:val="28"/>
          <w:highlight w:val="none"/>
        </w:rPr>
      </w:pPr>
    </w:p>
    <w:p w14:paraId="6BE3CF5E">
      <w:pPr>
        <w:adjustRightInd w:val="0"/>
        <w:snapToGrid w:val="0"/>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D5076FF">
      <w:pPr>
        <w:adjustRightInd w:val="0"/>
        <w:snapToGrid w:val="0"/>
        <w:spacing w:line="360" w:lineRule="auto"/>
        <w:ind w:firstLine="562" w:firstLineChars="200"/>
        <w:rPr>
          <w:rFonts w:ascii="仿宋" w:hAnsi="仿宋" w:eastAsia="仿宋" w:cs="仿宋"/>
          <w:b/>
          <w:color w:val="auto"/>
          <w:kern w:val="0"/>
          <w:sz w:val="28"/>
          <w:szCs w:val="28"/>
          <w:highlight w:val="none"/>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5C74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404245AE">
            <w:pPr>
              <w:adjustRightInd w:val="0"/>
              <w:snapToGrid w:val="0"/>
              <w:spacing w:line="360" w:lineRule="auto"/>
              <w:jc w:val="center"/>
              <w:rPr>
                <w:rFonts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法人身份证正面</w:t>
            </w:r>
          </w:p>
        </w:tc>
        <w:tc>
          <w:tcPr>
            <w:tcW w:w="5060" w:type="dxa"/>
            <w:shd w:val="clear" w:color="auto" w:fill="auto"/>
            <w:vAlign w:val="center"/>
          </w:tcPr>
          <w:p w14:paraId="1AC698F8">
            <w:pPr>
              <w:adjustRightInd w:val="0"/>
              <w:snapToGrid w:val="0"/>
              <w:spacing w:line="360" w:lineRule="auto"/>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法人身份证反面</w:t>
            </w:r>
          </w:p>
        </w:tc>
      </w:tr>
      <w:tr w14:paraId="4711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5B1528B3">
            <w:pPr>
              <w:adjustRightInd w:val="0"/>
              <w:snapToGrid w:val="0"/>
              <w:spacing w:line="360" w:lineRule="auto"/>
              <w:ind w:firstLine="562" w:firstLineChars="200"/>
              <w:jc w:val="center"/>
              <w:rPr>
                <w:rFonts w:ascii="仿宋" w:hAnsi="仿宋" w:eastAsia="仿宋" w:cs="仿宋"/>
                <w:b/>
                <w:color w:val="auto"/>
                <w:kern w:val="0"/>
                <w:sz w:val="28"/>
                <w:szCs w:val="28"/>
                <w:highlight w:val="none"/>
              </w:rPr>
            </w:pPr>
          </w:p>
        </w:tc>
        <w:tc>
          <w:tcPr>
            <w:tcW w:w="5060" w:type="dxa"/>
            <w:shd w:val="clear" w:color="auto" w:fill="auto"/>
          </w:tcPr>
          <w:p w14:paraId="7E5BA9B4">
            <w:pPr>
              <w:adjustRightInd w:val="0"/>
              <w:snapToGrid w:val="0"/>
              <w:spacing w:line="360" w:lineRule="auto"/>
              <w:ind w:firstLine="562" w:firstLineChars="200"/>
              <w:jc w:val="center"/>
              <w:rPr>
                <w:rFonts w:ascii="仿宋" w:hAnsi="仿宋" w:eastAsia="仿宋" w:cs="仿宋"/>
                <w:b/>
                <w:color w:val="auto"/>
                <w:kern w:val="0"/>
                <w:sz w:val="28"/>
                <w:szCs w:val="28"/>
                <w:highlight w:val="none"/>
              </w:rPr>
            </w:pPr>
          </w:p>
        </w:tc>
      </w:tr>
    </w:tbl>
    <w:p w14:paraId="7FD1AEE4">
      <w:pP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09E61636">
      <w:pPr>
        <w:adjustRightInd w:val="0"/>
        <w:snapToGrid w:val="0"/>
        <w:spacing w:line="360" w:lineRule="auto"/>
        <w:ind w:firstLine="562" w:firstLineChars="200"/>
        <w:jc w:val="center"/>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法定代表人授权委托书</w:t>
      </w:r>
    </w:p>
    <w:p w14:paraId="4C0E701C">
      <w:pPr>
        <w:adjustRightInd w:val="0"/>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内蒙古蒙牛乳业(集团)股份有限公司：</w:t>
      </w:r>
    </w:p>
    <w:p w14:paraId="374003FA">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（投标人全称）</w:t>
      </w: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（代表姓名）</w:t>
      </w:r>
      <w:r>
        <w:rPr>
          <w:rFonts w:hint="eastAsia" w:ascii="仿宋" w:hAnsi="仿宋" w:eastAsia="仿宋" w:cs="仿宋"/>
          <w:color w:val="auto"/>
          <w:sz w:val="28"/>
          <w:szCs w:val="28"/>
          <w:highlight w:val="none"/>
        </w:rPr>
        <w:t>为全权代表法定代表人，参加贵方组织的</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rPr>
        <w:t>竞谈活动中的一切事宜。</w:t>
      </w:r>
    </w:p>
    <w:p w14:paraId="10C2C159">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法定代表人授权委托书有效期_</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00F9B09A">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p>
    <w:p w14:paraId="0CC73D3C">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p>
    <w:p w14:paraId="1278207B">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授权委托人（签字）：</w:t>
      </w:r>
    </w:p>
    <w:p w14:paraId="24870C68">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p>
    <w:p w14:paraId="0696E692">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6DC111BB">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职      务：</w:t>
      </w:r>
    </w:p>
    <w:p w14:paraId="258D09DB">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2025年  月  日    </w:t>
      </w:r>
    </w:p>
    <w:p w14:paraId="0B4DB7CC">
      <w:p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tbl>
      <w:tblPr>
        <w:tblStyle w:val="11"/>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69181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66A21462">
            <w:pPr>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法定代表人身份证复印件</w:t>
            </w:r>
          </w:p>
          <w:p w14:paraId="12255B65">
            <w:pPr>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（正反面）</w:t>
            </w:r>
          </w:p>
        </w:tc>
        <w:tc>
          <w:tcPr>
            <w:tcW w:w="4739" w:type="dxa"/>
          </w:tcPr>
          <w:p w14:paraId="23B86916">
            <w:pPr>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授权委托人身份证复印件</w:t>
            </w:r>
          </w:p>
          <w:p w14:paraId="3F28D892">
            <w:pPr>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（正反面）</w:t>
            </w:r>
          </w:p>
        </w:tc>
      </w:tr>
    </w:tbl>
    <w:p w14:paraId="5D4036F0">
      <w:pPr>
        <w:adjustRightInd w:val="0"/>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授权委托人社保证明材料</w:t>
      </w:r>
    </w:p>
    <w:p w14:paraId="5FAC01CE">
      <w:pPr>
        <w:pStyle w:val="10"/>
        <w:adjustRightInd w:val="0"/>
        <w:snapToGrid w:val="0"/>
        <w:spacing w:after="0" w:line="360" w:lineRule="auto"/>
        <w:ind w:left="0" w:leftChars="0" w:firstLine="0" w:firstLineChars="0"/>
        <w:jc w:val="center"/>
        <w:rPr>
          <w:rFonts w:ascii="仿宋" w:hAnsi="仿宋" w:eastAsia="仿宋" w:cs="仿宋"/>
          <w:b/>
          <w:color w:val="auto"/>
          <w:sz w:val="28"/>
          <w:szCs w:val="28"/>
          <w:highlight w:val="none"/>
        </w:rPr>
      </w:pPr>
      <w:r>
        <w:rPr>
          <w:rFonts w:hint="eastAsia" w:ascii="仿宋" w:hAnsi="仿宋" w:eastAsia="仿宋" w:cs="仿宋"/>
          <w:iCs/>
          <w:color w:val="auto"/>
          <w:sz w:val="28"/>
          <w:szCs w:val="28"/>
          <w:highlight w:val="none"/>
          <w:shd w:val="clear" w:color="auto" w:fill="FFFFFF"/>
        </w:rPr>
        <w:t>（要求：1、具备社保局出具的材料；2、具备本单位名称及授权委托人姓名，近一年）</w:t>
      </w:r>
      <w:r>
        <w:rPr>
          <w:rFonts w:hint="eastAsia" w:ascii="仿宋" w:hAnsi="仿宋" w:eastAsia="仿宋" w:cs="仿宋"/>
          <w:b/>
          <w:color w:val="auto"/>
          <w:sz w:val="28"/>
          <w:szCs w:val="28"/>
          <w:highlight w:val="none"/>
        </w:rPr>
        <w:br w:type="page"/>
      </w:r>
    </w:p>
    <w:p w14:paraId="4357ABA6">
      <w:pPr>
        <w:adjustRightInd w:val="0"/>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附件2：</w:t>
      </w:r>
    </w:p>
    <w:p w14:paraId="7555F151">
      <w:pPr>
        <w:adjustRightInd w:val="0"/>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保密承诺书</w:t>
      </w:r>
    </w:p>
    <w:p w14:paraId="27FDEB88">
      <w:pPr>
        <w:widowControl/>
        <w:adjustRightInd w:val="0"/>
        <w:snapToGrid w:val="0"/>
        <w:spacing w:line="360" w:lineRule="auto"/>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甲方：内蒙古蒙牛乳业(集团)股份有限公司</w:t>
      </w:r>
    </w:p>
    <w:p w14:paraId="4B609E0C">
      <w:pPr>
        <w:widowControl/>
        <w:adjustRightInd w:val="0"/>
        <w:snapToGrid w:val="0"/>
        <w:spacing w:line="360" w:lineRule="auto"/>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地址：/</w:t>
      </w:r>
    </w:p>
    <w:p w14:paraId="217761F8">
      <w:pPr>
        <w:widowControl/>
        <w:adjustRightInd w:val="0"/>
        <w:snapToGrid w:val="0"/>
        <w:spacing w:line="360" w:lineRule="auto"/>
        <w:ind w:firstLine="560" w:firstLineChars="200"/>
        <w:jc w:val="left"/>
        <w:textAlignment w:val="baseline"/>
        <w:rPr>
          <w:rFonts w:ascii="仿宋" w:hAnsi="仿宋" w:eastAsia="仿宋" w:cs="仿宋"/>
          <w:color w:val="auto"/>
          <w:kern w:val="0"/>
          <w:sz w:val="28"/>
          <w:szCs w:val="28"/>
          <w:highlight w:val="none"/>
        </w:rPr>
      </w:pPr>
    </w:p>
    <w:p w14:paraId="7654CAD8">
      <w:pPr>
        <w:widowControl/>
        <w:adjustRightInd w:val="0"/>
        <w:snapToGrid w:val="0"/>
        <w:spacing w:line="360" w:lineRule="auto"/>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乙方（承诺方）：</w:t>
      </w:r>
    </w:p>
    <w:p w14:paraId="7A234DA1">
      <w:pPr>
        <w:widowControl/>
        <w:adjustRightInd w:val="0"/>
        <w:snapToGrid w:val="0"/>
        <w:spacing w:line="360" w:lineRule="auto"/>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地址：</w:t>
      </w:r>
    </w:p>
    <w:p w14:paraId="3B0833E0">
      <w:pPr>
        <w:widowControl/>
        <w:adjustRightInd w:val="0"/>
        <w:snapToGrid w:val="0"/>
        <w:spacing w:line="360" w:lineRule="auto"/>
        <w:ind w:firstLine="560" w:firstLineChars="200"/>
        <w:jc w:val="left"/>
        <w:textAlignment w:val="baseline"/>
        <w:rPr>
          <w:rFonts w:ascii="仿宋" w:hAnsi="仿宋" w:eastAsia="仿宋" w:cs="仿宋"/>
          <w:color w:val="auto"/>
          <w:kern w:val="0"/>
          <w:sz w:val="28"/>
          <w:szCs w:val="28"/>
          <w:highlight w:val="none"/>
        </w:rPr>
      </w:pPr>
    </w:p>
    <w:p w14:paraId="1759EEE9">
      <w:pPr>
        <w:widowControl/>
        <w:tabs>
          <w:tab w:val="left" w:pos="5040"/>
        </w:tabs>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甲乙双方就                   （项目名称）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D7646C5">
      <w:pPr>
        <w:widowControl/>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一、定义</w:t>
      </w:r>
    </w:p>
    <w:p w14:paraId="5377D40D">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2E63134">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（一）由乙方以书面文件证明：该等信息已于披露之前已由乙方所持有；</w:t>
      </w:r>
    </w:p>
    <w:p w14:paraId="1EECE81D">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（二）已公开发表或非因乙方作为或不作为的原因，已向公众披露；</w:t>
      </w:r>
    </w:p>
    <w:p w14:paraId="5393E0E0">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（三）已由甲方书面同意乙方公开；</w:t>
      </w:r>
    </w:p>
    <w:p w14:paraId="38F4028E">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（四）由乙方在未使用该等机密信息的情形下独立开发；</w:t>
      </w:r>
    </w:p>
    <w:p w14:paraId="093BCED8">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（五）乙方从第三方处合法、正当地取得，且该第三方对该等机密信息不承担保密义务。</w:t>
      </w:r>
    </w:p>
    <w:p w14:paraId="01C8497E">
      <w:pPr>
        <w:widowControl/>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二、保密</w:t>
      </w:r>
    </w:p>
    <w:p w14:paraId="62AF3826">
      <w:pPr>
        <w:pStyle w:val="8"/>
        <w:adjustRightInd w:val="0"/>
        <w:snapToGrid w:val="0"/>
        <w:spacing w:line="360" w:lineRule="auto"/>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02E95CAB">
      <w:pPr>
        <w:widowControl/>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三、公开</w:t>
      </w:r>
    </w:p>
    <w:p w14:paraId="3B334025">
      <w:pPr>
        <w:pStyle w:val="8"/>
        <w:adjustRightInd w:val="0"/>
        <w:snapToGrid w:val="0"/>
        <w:spacing w:line="360" w:lineRule="auto"/>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266F73B">
      <w:pPr>
        <w:widowControl/>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四、强制性披露</w:t>
      </w:r>
    </w:p>
    <w:p w14:paraId="2240E3D5">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E5C0C31">
      <w:pPr>
        <w:widowControl/>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五、返还资料</w:t>
      </w:r>
    </w:p>
    <w:p w14:paraId="401FE026">
      <w:pPr>
        <w:pStyle w:val="4"/>
        <w:adjustRightInd w:val="0"/>
        <w:snapToGrid w:val="0"/>
        <w:spacing w:after="0" w:line="360" w:lineRule="auto"/>
        <w:ind w:left="0" w:leftChars="0"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在承诺书目的终止、撤销、完成、被拒绝或以其他方式解除后，根据甲方的书面要求，乙方应在项目谈判协商终止后的</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86FA58A">
      <w:pPr>
        <w:widowControl/>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六、非授权许可</w:t>
      </w:r>
    </w:p>
    <w:p w14:paraId="27ABBE50">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5B03464">
      <w:pPr>
        <w:widowControl/>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七、义务限定</w:t>
      </w:r>
    </w:p>
    <w:p w14:paraId="673B8513">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20CCBE7C">
      <w:pPr>
        <w:widowControl/>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八、信息准确性</w:t>
      </w:r>
    </w:p>
    <w:p w14:paraId="67A8ECF7">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67DC39C">
      <w:pPr>
        <w:widowControl/>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九、期限</w:t>
      </w:r>
    </w:p>
    <w:p w14:paraId="702C9E07">
      <w:pPr>
        <w:pStyle w:val="4"/>
        <w:adjustRightInd w:val="0"/>
        <w:snapToGrid w:val="0"/>
        <w:spacing w:after="0" w:line="360" w:lineRule="auto"/>
        <w:ind w:left="0" w:leftChars="0"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本承诺书中乙方之保密义务应自乙方收到机密信息之日起</w:t>
      </w:r>
      <w:r>
        <w:rPr>
          <w:rFonts w:hint="eastAsia" w:ascii="仿宋" w:hAnsi="仿宋" w:eastAsia="仿宋" w:cs="仿宋"/>
          <w:color w:val="auto"/>
          <w:kern w:val="0"/>
          <w:sz w:val="28"/>
          <w:szCs w:val="28"/>
          <w:highlight w:val="none"/>
          <w:u w:val="single"/>
        </w:rPr>
        <w:t xml:space="preserve">  5  </w:t>
      </w:r>
      <w:r>
        <w:rPr>
          <w:rFonts w:hint="eastAsia" w:ascii="仿宋" w:hAnsi="仿宋" w:eastAsia="仿宋" w:cs="仿宋"/>
          <w:color w:val="auto"/>
          <w:kern w:val="0"/>
          <w:sz w:val="28"/>
          <w:szCs w:val="28"/>
          <w:highlight w:val="none"/>
        </w:rPr>
        <w:t>年内持续有效，且不因承诺书目的之达成而终止。</w:t>
      </w:r>
    </w:p>
    <w:p w14:paraId="66097FE3">
      <w:pPr>
        <w:pStyle w:val="2"/>
        <w:adjustRightInd w:val="0"/>
        <w:snapToGrid w:val="0"/>
        <w:spacing w:after="0"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十、</w:t>
      </w:r>
      <w:r>
        <w:rPr>
          <w:rFonts w:hint="eastAsia" w:ascii="仿宋" w:hAnsi="仿宋" w:eastAsia="仿宋" w:cs="仿宋"/>
          <w:b/>
          <w:color w:val="auto"/>
          <w:sz w:val="28"/>
          <w:szCs w:val="28"/>
          <w:highlight w:val="none"/>
        </w:rPr>
        <w:t>补充条款</w:t>
      </w:r>
    </w:p>
    <w:p w14:paraId="63E2B9AE">
      <w:pPr>
        <w:pStyle w:val="2"/>
        <w:adjustRightInd w:val="0"/>
        <w:snapToGrid w:val="0"/>
        <w:spacing w:after="0"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（一）合规条款</w:t>
      </w:r>
    </w:p>
    <w:p w14:paraId="6C0A21F1">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BB4F55">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2、履约行为合规承诺：乙方承诺具有履行本承诺书约定的能力，且履行行为符合现行法律法规等规范性文件的要求。</w:t>
      </w:r>
    </w:p>
    <w:p w14:paraId="0A29669C">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77A77F1">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4、合规检查：乙方应积极配合甲方的合规检查，理解并接受甲方对乙方的合规管理要求，同意配合合规检查，并不得隐瞒任何可能对甲方利益造成影响的信息。</w:t>
      </w:r>
    </w:p>
    <w:p w14:paraId="14DFAF97">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5、劳动用工：乙方承诺不雇佣、使用童工，保障其员工的劳动合法权益，不纵容、支持、实施歧视、威胁员工的行为或发布相关言论。</w:t>
      </w:r>
    </w:p>
    <w:p w14:paraId="108EBABE">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C5ADC94">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7、严格约束乙方员工及其代理人：乙方承诺严格遵守合规承诺条款，若乙方员工及乙方的代理人或代理机构违反相关承诺即视为乙方违反。</w:t>
      </w:r>
    </w:p>
    <w:p w14:paraId="22644354">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D24EC19">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A5C67D7">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10、责任承担：如果乙方违反前述合规承诺条款，甲方有权要求乙方承担因此而给甲方造成的全部损失。</w:t>
      </w:r>
    </w:p>
    <w:p w14:paraId="6644A2C3">
      <w:pPr>
        <w:pStyle w:val="2"/>
        <w:adjustRightInd w:val="0"/>
        <w:snapToGrid w:val="0"/>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12、适用原则：本承诺书中合规条款对乙方的要求与承诺书中其他条款不一致的，以对乙方要求更高的条款为准。</w:t>
      </w:r>
    </w:p>
    <w:p w14:paraId="592A7DF1">
      <w:pPr>
        <w:pStyle w:val="2"/>
        <w:adjustRightInd w:val="0"/>
        <w:snapToGrid w:val="0"/>
        <w:spacing w:after="0"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（二）环境保护</w:t>
      </w:r>
    </w:p>
    <w:p w14:paraId="12B6B208">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D8AF78D">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（三）附件法律效力条款</w:t>
      </w:r>
    </w:p>
    <w:p w14:paraId="59C572C4">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9DEE3E1">
      <w:pPr>
        <w:pStyle w:val="2"/>
        <w:adjustRightInd w:val="0"/>
        <w:snapToGrid w:val="0"/>
        <w:spacing w:after="0" w:line="360" w:lineRule="auto"/>
        <w:ind w:firstLine="562" w:firstLineChars="20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十一、适用法律</w:t>
      </w:r>
    </w:p>
    <w:p w14:paraId="63F99C91">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auto"/>
          <w:kern w:val="0"/>
          <w:sz w:val="28"/>
          <w:szCs w:val="28"/>
          <w:highlight w:val="none"/>
          <w:u w:val="single"/>
        </w:rPr>
        <w:t>【 一 】</w:t>
      </w:r>
      <w:r>
        <w:rPr>
          <w:rFonts w:hint="eastAsia" w:ascii="仿宋" w:hAnsi="仿宋" w:eastAsia="仿宋" w:cs="仿宋"/>
          <w:color w:val="auto"/>
          <w:kern w:val="0"/>
          <w:sz w:val="28"/>
          <w:szCs w:val="28"/>
          <w:highlight w:val="none"/>
        </w:rPr>
        <w:t>种方式解决：</w:t>
      </w:r>
    </w:p>
    <w:p w14:paraId="566FEEBF">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（一）向呼和浩特仲裁委员会申请仲裁。因仲裁产生的包括但不限于仲裁费、律师费、调查费、差旅费等，由乙方承担。</w:t>
      </w:r>
    </w:p>
    <w:p w14:paraId="26FACBB8">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（二）向甲方所在地有管辖权的人民法院提起诉讼。因诉讼产生的包括但不限于诉讼费、律师费、调查费、差旅费等，由乙方承担。</w:t>
      </w:r>
    </w:p>
    <w:p w14:paraId="15DDC65B">
      <w:pPr>
        <w:pStyle w:val="2"/>
        <w:adjustRightInd w:val="0"/>
        <w:snapToGrid w:val="0"/>
        <w:spacing w:after="0" w:line="360" w:lineRule="auto"/>
        <w:ind w:firstLine="562" w:firstLineChars="20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十二、违约责任及救济</w:t>
      </w:r>
    </w:p>
    <w:p w14:paraId="7F3F90A4">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AE2C21D">
      <w:pPr>
        <w:adjustRightInd w:val="0"/>
        <w:snapToGrid w:val="0"/>
        <w:spacing w:line="360" w:lineRule="auto"/>
        <w:ind w:firstLine="562" w:firstLineChars="200"/>
        <w:rPr>
          <w:rFonts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如果</w:t>
      </w:r>
      <w:r>
        <w:rPr>
          <w:rFonts w:hint="eastAsia" w:ascii="仿宋" w:hAnsi="仿宋" w:eastAsia="仿宋" w:cs="仿宋"/>
          <w:b/>
          <w:bCs/>
          <w:color w:val="auto"/>
          <w:kern w:val="0"/>
          <w:sz w:val="28"/>
          <w:szCs w:val="28"/>
          <w:highlight w:val="none"/>
        </w:rPr>
        <w:t>乙方</w:t>
      </w:r>
      <w:r>
        <w:rPr>
          <w:rFonts w:hint="eastAsia" w:ascii="仿宋" w:hAnsi="仿宋" w:eastAsia="仿宋" w:cs="仿宋"/>
          <w:b/>
          <w:color w:val="auto"/>
          <w:kern w:val="0"/>
          <w:sz w:val="28"/>
          <w:szCs w:val="28"/>
          <w:highlight w:val="none"/>
        </w:rPr>
        <w:t>违反本承诺书的任何规定情形，则甲方有权将乙方拉入蒙牛供应商黑名单，乙方应积极配合甲方在10个工作日内收回已经泄露的信息。</w:t>
      </w:r>
    </w:p>
    <w:p w14:paraId="41740592">
      <w:pPr>
        <w:pStyle w:val="2"/>
        <w:adjustRightInd w:val="0"/>
        <w:snapToGrid w:val="0"/>
        <w:spacing w:after="0" w:line="360" w:lineRule="auto"/>
        <w:ind w:firstLine="562" w:firstLineChars="20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十三、生效及份数</w:t>
      </w:r>
    </w:p>
    <w:p w14:paraId="4DD373FF">
      <w:pPr>
        <w:pStyle w:val="2"/>
        <w:adjustRightInd w:val="0"/>
        <w:snapToGrid w:val="0"/>
        <w:spacing w:after="0"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本承诺书经乙方签字盖章之日起生效。</w:t>
      </w:r>
    </w:p>
    <w:p w14:paraId="0D78FAF5">
      <w:pPr>
        <w:adjustRightInd w:val="0"/>
        <w:snapToGrid w:val="0"/>
        <w:spacing w:line="360" w:lineRule="auto"/>
        <w:ind w:firstLine="562" w:firstLineChars="200"/>
        <w:rPr>
          <w:rFonts w:ascii="仿宋" w:hAnsi="仿宋" w:eastAsia="仿宋" w:cs="仿宋"/>
          <w:b/>
          <w:bCs/>
          <w:color w:val="auto"/>
          <w:sz w:val="28"/>
          <w:szCs w:val="28"/>
          <w:highlight w:val="none"/>
        </w:rPr>
      </w:pPr>
    </w:p>
    <w:p w14:paraId="213E40FC">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（以下无正文）</w:t>
      </w:r>
    </w:p>
    <w:p w14:paraId="73603AEF">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rPr>
        <w:tab/>
      </w:r>
      <w:r>
        <w:rPr>
          <w:rFonts w:hint="eastAsia" w:ascii="仿宋" w:hAnsi="仿宋" w:eastAsia="仿宋" w:cs="仿宋"/>
          <w:color w:val="auto"/>
          <w:kern w:val="0"/>
          <w:sz w:val="28"/>
          <w:szCs w:val="28"/>
          <w:highlight w:val="none"/>
        </w:rPr>
        <w:tab/>
      </w:r>
      <w:r>
        <w:rPr>
          <w:rFonts w:hint="eastAsia" w:ascii="仿宋" w:hAnsi="仿宋" w:eastAsia="仿宋" w:cs="仿宋"/>
          <w:color w:val="auto"/>
          <w:kern w:val="0"/>
          <w:sz w:val="28"/>
          <w:szCs w:val="28"/>
          <w:highlight w:val="none"/>
        </w:rPr>
        <w:t xml:space="preserve">                            </w:t>
      </w:r>
    </w:p>
    <w:p w14:paraId="7350A0E1">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乙方（承诺方）：</w:t>
      </w:r>
    </w:p>
    <w:p w14:paraId="20B21876">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代表人（签字）：</w:t>
      </w:r>
    </w:p>
    <w:p w14:paraId="428F38CE">
      <w:pPr>
        <w:widowControl/>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w:t>
      </w:r>
    </w:p>
    <w:p w14:paraId="62D337F5">
      <w:pPr>
        <w:widowControl/>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26731B72">
      <w:pPr>
        <w:adjustRightInd w:val="0"/>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附件3：</w:t>
      </w:r>
    </w:p>
    <w:p w14:paraId="313EFE77">
      <w:pPr>
        <w:adjustRightInd w:val="0"/>
        <w:snapToGrid w:val="0"/>
        <w:spacing w:line="360" w:lineRule="auto"/>
        <w:jc w:val="left"/>
        <w:rPr>
          <w:rFonts w:ascii="仿宋" w:hAnsi="仿宋" w:eastAsia="仿宋" w:cs="仿宋"/>
          <w:b/>
          <w:color w:val="auto"/>
          <w:sz w:val="28"/>
          <w:szCs w:val="28"/>
          <w:highlight w:val="none"/>
        </w:rPr>
      </w:pPr>
    </w:p>
    <w:p w14:paraId="01088B66">
      <w:pPr>
        <w:adjustRightInd w:val="0"/>
        <w:snapToGrid w:val="0"/>
        <w:spacing w:line="360" w:lineRule="auto"/>
        <w:ind w:firstLine="562" w:firstLineChars="200"/>
        <w:jc w:val="center"/>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非联合体竞谈，不分包或转包声明</w:t>
      </w:r>
    </w:p>
    <w:p w14:paraId="12402B98">
      <w:pPr>
        <w:pStyle w:val="2"/>
        <w:overflowPunct w:val="0"/>
        <w:adjustRightInd w:val="0"/>
        <w:snapToGrid w:val="0"/>
        <w:spacing w:after="0" w:line="360" w:lineRule="auto"/>
        <w:ind w:firstLine="560" w:firstLineChars="200"/>
        <w:rPr>
          <w:rFonts w:ascii="仿宋" w:hAnsi="仿宋" w:eastAsia="仿宋" w:cs="仿宋"/>
          <w:color w:val="auto"/>
          <w:sz w:val="28"/>
          <w:szCs w:val="28"/>
          <w:highlight w:val="none"/>
        </w:rPr>
      </w:pPr>
    </w:p>
    <w:p w14:paraId="6DCC23A2">
      <w:pPr>
        <w:pStyle w:val="2"/>
        <w:overflowPunct w:val="0"/>
        <w:autoSpaceDE w:val="0"/>
        <w:autoSpaceDN w:val="0"/>
        <w:adjustRightInd w:val="0"/>
        <w:snapToGrid w:val="0"/>
        <w:spacing w:after="0"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致：内蒙古蒙牛乳业(集团)股份有限公司</w:t>
      </w:r>
    </w:p>
    <w:p w14:paraId="1B24A036">
      <w:pPr>
        <w:pStyle w:val="2"/>
        <w:overflowPunct w:val="0"/>
        <w:autoSpaceDE w:val="0"/>
        <w:autoSpaceDN w:val="0"/>
        <w:adjustRightInd w:val="0"/>
        <w:snapToGrid w:val="0"/>
        <w:spacing w:after="0"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关于“                         （项目名称）（项目编号：MNCGJH-20250507-0018）”，我公司未采取联合体形式参与本项目竞谈，承诺中标后不分包或转包。</w:t>
      </w:r>
    </w:p>
    <w:p w14:paraId="66699297">
      <w:pPr>
        <w:pStyle w:val="2"/>
        <w:overflowPunct w:val="0"/>
        <w:autoSpaceDE w:val="0"/>
        <w:autoSpaceDN w:val="0"/>
        <w:adjustRightInd w:val="0"/>
        <w:snapToGrid w:val="0"/>
        <w:spacing w:after="0" w:line="360" w:lineRule="auto"/>
        <w:ind w:firstLine="560" w:firstLineChars="200"/>
        <w:rPr>
          <w:rFonts w:ascii="仿宋" w:hAnsi="仿宋" w:eastAsia="仿宋" w:cs="仿宋"/>
          <w:color w:val="auto"/>
          <w:kern w:val="0"/>
          <w:sz w:val="28"/>
          <w:szCs w:val="28"/>
          <w:highlight w:val="none"/>
        </w:rPr>
      </w:pPr>
    </w:p>
    <w:p w14:paraId="539108B7">
      <w:pPr>
        <w:pStyle w:val="2"/>
        <w:overflowPunct w:val="0"/>
        <w:autoSpaceDE w:val="0"/>
        <w:autoSpaceDN w:val="0"/>
        <w:adjustRightInd w:val="0"/>
        <w:snapToGrid w:val="0"/>
        <w:spacing w:after="0" w:line="360" w:lineRule="auto"/>
        <w:ind w:firstLine="560" w:firstLineChars="200"/>
        <w:rPr>
          <w:rFonts w:ascii="仿宋" w:hAnsi="仿宋" w:eastAsia="仿宋" w:cs="仿宋"/>
          <w:color w:val="auto"/>
          <w:kern w:val="0"/>
          <w:sz w:val="28"/>
          <w:szCs w:val="28"/>
          <w:highlight w:val="none"/>
        </w:rPr>
      </w:pPr>
    </w:p>
    <w:p w14:paraId="49923FF4">
      <w:pPr>
        <w:pStyle w:val="2"/>
        <w:overflowPunct w:val="0"/>
        <w:autoSpaceDE w:val="0"/>
        <w:autoSpaceDN w:val="0"/>
        <w:adjustRightInd w:val="0"/>
        <w:snapToGrid w:val="0"/>
        <w:spacing w:after="0"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特此声明！</w:t>
      </w:r>
    </w:p>
    <w:p w14:paraId="2F8DC843">
      <w:pPr>
        <w:pStyle w:val="2"/>
        <w:overflowPunct w:val="0"/>
        <w:adjustRightInd w:val="0"/>
        <w:snapToGrid w:val="0"/>
        <w:spacing w:after="0" w:line="360" w:lineRule="auto"/>
        <w:ind w:firstLine="560" w:firstLineChars="200"/>
        <w:jc w:val="right"/>
        <w:rPr>
          <w:rFonts w:ascii="仿宋" w:hAnsi="仿宋" w:eastAsia="仿宋" w:cs="仿宋"/>
          <w:color w:val="auto"/>
          <w:kern w:val="0"/>
          <w:sz w:val="28"/>
          <w:szCs w:val="28"/>
          <w:highlight w:val="none"/>
        </w:rPr>
      </w:pPr>
    </w:p>
    <w:p w14:paraId="21711DA9">
      <w:pPr>
        <w:pStyle w:val="2"/>
        <w:overflowPunct w:val="0"/>
        <w:adjustRightInd w:val="0"/>
        <w:snapToGrid w:val="0"/>
        <w:spacing w:after="0" w:line="360" w:lineRule="auto"/>
        <w:ind w:firstLine="3920" w:firstLineChars="140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投标人全称（公章）：</w:t>
      </w:r>
    </w:p>
    <w:p w14:paraId="191F36B0">
      <w:pPr>
        <w:pStyle w:val="2"/>
        <w:overflowPunct w:val="0"/>
        <w:adjustRightInd w:val="0"/>
        <w:snapToGrid w:val="0"/>
        <w:spacing w:after="0" w:line="360" w:lineRule="auto"/>
        <w:ind w:firstLine="3920" w:firstLineChars="14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日期：2025年   月   日</w:t>
      </w:r>
    </w:p>
    <w:p w14:paraId="563346CB">
      <w:pPr>
        <w:widowControl/>
        <w:adjustRightInd w:val="0"/>
        <w:snapToGrid w:val="0"/>
        <w:spacing w:line="360" w:lineRule="auto"/>
        <w:ind w:firstLine="560" w:firstLineChars="200"/>
        <w:jc w:val="center"/>
        <w:textAlignment w:val="baseline"/>
        <w:rPr>
          <w:rFonts w:ascii="仿宋" w:hAnsi="仿宋" w:eastAsia="仿宋" w:cs="仿宋"/>
          <w:color w:val="auto"/>
          <w:kern w:val="0"/>
          <w:sz w:val="28"/>
          <w:szCs w:val="28"/>
          <w:highlight w:val="none"/>
        </w:rPr>
      </w:pPr>
    </w:p>
    <w:p w14:paraId="692F5872">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D4F83A8">
      <w:pPr>
        <w:adjustRightInd w:val="0"/>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附件4：</w:t>
      </w:r>
    </w:p>
    <w:p w14:paraId="7F948D30">
      <w:pPr>
        <w:adjustRightInd w:val="0"/>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告知函</w:t>
      </w:r>
    </w:p>
    <w:p w14:paraId="499844F6">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致：内蒙古蒙牛乳业(集团)股份有限公司：</w:t>
      </w:r>
    </w:p>
    <w:p w14:paraId="7593105E">
      <w:pPr>
        <w:adjustRightInd w:val="0"/>
        <w:snapToGrid w:val="0"/>
        <w:spacing w:line="360" w:lineRule="auto"/>
        <w:ind w:firstLine="562" w:firstLineChars="200"/>
        <w:jc w:val="distribute"/>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u w:val="single"/>
        </w:rPr>
        <w:t>***公司</w:t>
      </w:r>
      <w:r>
        <w:rPr>
          <w:rFonts w:hint="eastAsia" w:ascii="仿宋" w:hAnsi="仿宋" w:eastAsia="仿宋" w:cs="仿宋"/>
          <w:color w:val="auto"/>
          <w:sz w:val="28"/>
          <w:szCs w:val="28"/>
          <w:highlight w:val="none"/>
        </w:rPr>
        <w:t>（请填写标准注册公司名称）于</w:t>
      </w:r>
      <w:r>
        <w:rPr>
          <w:rFonts w:hint="eastAsia" w:ascii="仿宋" w:hAnsi="仿宋" w:eastAsia="仿宋" w:cs="仿宋"/>
          <w:b/>
          <w:bCs/>
          <w:color w:val="auto"/>
          <w:sz w:val="28"/>
          <w:szCs w:val="28"/>
          <w:highlight w:val="none"/>
          <w:u w:val="single"/>
        </w:rPr>
        <w:t>2025年**月**日</w:t>
      </w:r>
      <w:r>
        <w:rPr>
          <w:rFonts w:hint="eastAsia" w:ascii="仿宋" w:hAnsi="仿宋" w:eastAsia="仿宋" w:cs="仿宋"/>
          <w:color w:val="auto"/>
          <w:sz w:val="28"/>
          <w:szCs w:val="28"/>
          <w:highlight w:val="none"/>
        </w:rPr>
        <w:t xml:space="preserve">参加贵方组织的 </w:t>
      </w:r>
    </w:p>
    <w:p w14:paraId="5DB15CFC">
      <w:pPr>
        <w:adjustRightInd w:val="0"/>
        <w:snapToGrid w:val="0"/>
        <w:spacing w:line="360" w:lineRule="auto"/>
        <w:ind w:firstLine="3360" w:firstLineChars="1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（项目名称）（项目编号：MNCGJH-20250507-0018），并提交下述文件一份：</w:t>
      </w:r>
    </w:p>
    <w:p w14:paraId="5D97D7F0">
      <w:p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据此函，同意并告知如下：</w:t>
      </w:r>
    </w:p>
    <w:p w14:paraId="04B9C3D1">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我公司参加</w:t>
      </w:r>
      <w:r>
        <w:rPr>
          <w:rFonts w:hint="eastAsia" w:ascii="仿宋" w:hAnsi="仿宋" w:eastAsia="仿宋" w:cs="仿宋"/>
          <w:color w:val="auto"/>
          <w:sz w:val="28"/>
          <w:szCs w:val="28"/>
          <w:highlight w:val="none"/>
        </w:rPr>
        <w:t>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该员工将不会作为我公司</w:t>
      </w:r>
      <w:r>
        <w:rPr>
          <w:rFonts w:hint="eastAsia" w:ascii="仿宋" w:hAnsi="仿宋" w:eastAsia="仿宋" w:cs="仿宋"/>
          <w:color w:val="auto"/>
          <w:sz w:val="28"/>
          <w:szCs w:val="28"/>
          <w:highlight w:val="none"/>
          <w:lang w:val="zh-CN"/>
        </w:rPr>
        <w:t>服务团队</w:t>
      </w:r>
      <w:r>
        <w:rPr>
          <w:rFonts w:hint="eastAsia" w:ascii="仿宋" w:hAnsi="仿宋" w:eastAsia="仿宋" w:cs="仿宋"/>
          <w:color w:val="auto"/>
          <w:sz w:val="28"/>
          <w:szCs w:val="28"/>
          <w:highlight w:val="none"/>
        </w:rPr>
        <w:t>成员；合作期间如发现该员工以我公司名义与蒙牛集团进行相关业务往来，一经查实，我公司无条件接受蒙牛集团《阳光协议》中的相关处理条款。</w:t>
      </w:r>
    </w:p>
    <w:p w14:paraId="19E2D176">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p>
    <w:p w14:paraId="3AC65E53">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公司全称（公章）：</w:t>
      </w:r>
    </w:p>
    <w:p w14:paraId="1536E0E4">
      <w:pPr>
        <w:adjustRightInd w:val="0"/>
        <w:snapToGrid w:val="0"/>
        <w:spacing w:line="360" w:lineRule="auto"/>
        <w:ind w:firstLine="560" w:firstLineChars="200"/>
        <w:rPr>
          <w:rFonts w:ascii="仿宋" w:hAnsi="仿宋" w:eastAsia="仿宋" w:cs="仿宋"/>
          <w:color w:val="auto"/>
          <w:sz w:val="28"/>
          <w:szCs w:val="28"/>
          <w:highlight w:val="none"/>
          <w:lang w:bidi="ar"/>
        </w:rPr>
      </w:pPr>
    </w:p>
    <w:p w14:paraId="0AFF1C49">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 xml:space="preserve">法定代表人或被授权委托人（签字或印章）： </w:t>
      </w:r>
    </w:p>
    <w:p w14:paraId="3387E6FA">
      <w:pPr>
        <w:widowControl/>
        <w:adjustRightInd w:val="0"/>
        <w:snapToGrid w:val="0"/>
        <w:spacing w:line="360" w:lineRule="auto"/>
        <w:ind w:firstLine="560" w:firstLineChars="200"/>
        <w:jc w:val="left"/>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    </w:t>
      </w:r>
    </w:p>
    <w:p w14:paraId="1835CEAA">
      <w:pPr>
        <w:widowControl/>
        <w:adjustRightInd w:val="0"/>
        <w:snapToGrid w:val="0"/>
        <w:spacing w:line="360" w:lineRule="auto"/>
        <w:ind w:firstLine="560" w:firstLineChars="200"/>
        <w:jc w:val="left"/>
        <w:rPr>
          <w:rFonts w:ascii="仿宋" w:hAnsi="仿宋" w:eastAsia="仿宋" w:cs="仿宋"/>
          <w:color w:val="auto"/>
          <w:sz w:val="28"/>
          <w:szCs w:val="28"/>
          <w:highlight w:val="none"/>
          <w:lang w:bidi="ar"/>
        </w:rPr>
      </w:pPr>
    </w:p>
    <w:p w14:paraId="25E7145F">
      <w:pPr>
        <w:widowControl/>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 xml:space="preserve">日期： </w:t>
      </w:r>
    </w:p>
    <w:p w14:paraId="510B6333">
      <w:pPr>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br w:type="page"/>
      </w:r>
    </w:p>
    <w:p w14:paraId="5679086C">
      <w:pPr>
        <w:adjustRightInd w:val="0"/>
        <w:snapToGrid w:val="0"/>
        <w:spacing w:line="360" w:lineRule="auto"/>
        <w:ind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阳光协议</w:t>
      </w:r>
    </w:p>
    <w:p w14:paraId="75C3CC45">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甲方：内蒙古蒙牛乳业(集团)股份有限公司</w:t>
      </w:r>
    </w:p>
    <w:p w14:paraId="6B7CCE28">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p>
    <w:p w14:paraId="32F0D54F">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9574A49">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630FB3D9">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甲乙双方均理解并愿意严格遵守中华人民共和国关于反商业贿赂的有关法律法规的规定，双方均理解任何形式的贿赂行为都将触犯法律，并受到法律的严惩。</w:t>
      </w:r>
    </w:p>
    <w:p w14:paraId="284E5E19">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77698D9B">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760BF758">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1.坚守诚信原则，在合作过程中不以任何方式贿赂对方公司人员及其亲属、特定关系人，不发生舞弊、腐败、欺诈行为。</w:t>
      </w:r>
    </w:p>
    <w:p w14:paraId="6166523B">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2.在执行业务合作中，双方均不得采用隐瞒、欺骗等手段侵占另一方财物，或损害另一方其他合法利益。</w:t>
      </w:r>
    </w:p>
    <w:p w14:paraId="03967D32">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54161A5">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三、双方权利和义务</w:t>
      </w:r>
    </w:p>
    <w:p w14:paraId="50E0A493">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（一）甲方权利、义务</w:t>
      </w:r>
    </w:p>
    <w:p w14:paraId="1F04806E">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3DEC38C7">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2.被甲方列入黑名单中的公司法定代表人、监事、出资人、联系人、业务对接人，在其他公司担任法人或类似职务或充当类似身份的，</w:t>
      </w:r>
      <w:r>
        <w:rPr>
          <w:rFonts w:hint="eastAsia" w:ascii="仿宋" w:hAnsi="仿宋" w:eastAsia="仿宋" w:cs="仿宋"/>
          <w:color w:val="auto"/>
          <w:sz w:val="28"/>
          <w:szCs w:val="28"/>
          <w:highlight w:val="none"/>
          <w:lang w:eastAsia="zh-Hans"/>
        </w:rPr>
        <w:t>该公司视为已</w:t>
      </w:r>
      <w:r>
        <w:rPr>
          <w:rFonts w:hint="eastAsia" w:ascii="仿宋" w:hAnsi="仿宋" w:eastAsia="仿宋" w:cs="仿宋"/>
          <w:color w:val="auto"/>
          <w:sz w:val="28"/>
          <w:szCs w:val="28"/>
          <w:highlight w:val="none"/>
        </w:rPr>
        <w:t>被</w:t>
      </w:r>
      <w:r>
        <w:rPr>
          <w:rFonts w:hint="eastAsia" w:ascii="仿宋" w:hAnsi="仿宋" w:eastAsia="仿宋" w:cs="仿宋"/>
          <w:color w:val="auto"/>
          <w:sz w:val="28"/>
          <w:szCs w:val="28"/>
          <w:highlight w:val="none"/>
          <w:lang w:eastAsia="zh-Hans"/>
        </w:rPr>
        <w:t>列入黑名单</w:t>
      </w:r>
      <w:r>
        <w:rPr>
          <w:rFonts w:hint="eastAsia" w:ascii="仿宋" w:hAnsi="仿宋" w:eastAsia="仿宋" w:cs="仿宋"/>
          <w:color w:val="auto"/>
          <w:sz w:val="28"/>
          <w:szCs w:val="28"/>
          <w:highlight w:val="none"/>
        </w:rPr>
        <w:t>。</w:t>
      </w:r>
    </w:p>
    <w:p w14:paraId="02484832">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6B580AC">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举报电话：0471-7393612</w:t>
      </w:r>
    </w:p>
    <w:p w14:paraId="5E9227F7">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举报邮箱：</w:t>
      </w:r>
      <w:r>
        <w:rPr>
          <w:color w:val="auto"/>
          <w:highlight w:val="none"/>
        </w:rPr>
        <w:fldChar w:fldCharType="begin"/>
      </w:r>
      <w:r>
        <w:rPr>
          <w:color w:val="auto"/>
          <w:highlight w:val="none"/>
        </w:rPr>
        <w:instrText xml:space="preserve"> HYPERLINK "mailto:mnjw@mengniu.cn" </w:instrText>
      </w:r>
      <w:r>
        <w:rPr>
          <w:color w:val="auto"/>
          <w:highlight w:val="none"/>
        </w:rPr>
        <w:fldChar w:fldCharType="separate"/>
      </w:r>
      <w:r>
        <w:rPr>
          <w:rFonts w:hint="eastAsia" w:ascii="仿宋" w:hAnsi="仿宋" w:eastAsia="仿宋" w:cs="仿宋"/>
          <w:color w:val="auto"/>
          <w:sz w:val="28"/>
          <w:szCs w:val="28"/>
          <w:highlight w:val="none"/>
          <w:lang w:eastAsia="zh-Hans"/>
        </w:rPr>
        <w:t>mnjw@mengniu.cn</w:t>
      </w:r>
      <w:r>
        <w:rPr>
          <w:rFonts w:hint="eastAsia" w:ascii="仿宋" w:hAnsi="仿宋" w:eastAsia="仿宋" w:cs="仿宋"/>
          <w:color w:val="auto"/>
          <w:sz w:val="28"/>
          <w:szCs w:val="28"/>
          <w:highlight w:val="none"/>
          <w:lang w:eastAsia="zh-Hans"/>
        </w:rPr>
        <w:fldChar w:fldCharType="end"/>
      </w:r>
    </w:p>
    <w:p w14:paraId="0FF95513">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邮寄地址：内蒙古呼和浩特市和林格尔盛乐经济园区蒙牛乳业奶源楼311室 纪委办公室（收）</w:t>
      </w:r>
    </w:p>
    <w:p w14:paraId="1260E6F5">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Hans"/>
        </w:rPr>
        <w:t>邮政编码：011517</w:t>
      </w:r>
    </w:p>
    <w:p w14:paraId="4EE9E7B1">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（二）乙方权利、义务</w:t>
      </w:r>
    </w:p>
    <w:p w14:paraId="6DD0E741">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59F7942">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Hans"/>
        </w:rPr>
        <w:t>乙方保证，在投标过程中，不发生以下行为：</w:t>
      </w:r>
    </w:p>
    <w:p w14:paraId="794FA291">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Hans"/>
        </w:rPr>
        <w:t>（1）乙方在投标中存在提供虚假材料，欺骗中标</w:t>
      </w:r>
      <w:r>
        <w:rPr>
          <w:rFonts w:hint="eastAsia" w:ascii="仿宋" w:hAnsi="仿宋" w:eastAsia="仿宋" w:cs="仿宋"/>
          <w:color w:val="auto"/>
          <w:sz w:val="28"/>
          <w:szCs w:val="28"/>
          <w:highlight w:val="none"/>
        </w:rPr>
        <w:t>；</w:t>
      </w:r>
    </w:p>
    <w:p w14:paraId="223B2E09">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Hans"/>
        </w:rPr>
        <w:t>（2）乙方在投标时</w:t>
      </w:r>
      <w:r>
        <w:rPr>
          <w:rFonts w:hint="eastAsia" w:ascii="仿宋" w:hAnsi="仿宋" w:eastAsia="仿宋" w:cs="仿宋"/>
          <w:color w:val="auto"/>
          <w:sz w:val="28"/>
          <w:szCs w:val="28"/>
          <w:highlight w:val="none"/>
        </w:rPr>
        <w:t>存在围标串标；</w:t>
      </w:r>
    </w:p>
    <w:p w14:paraId="07D442D0">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Hans"/>
        </w:rPr>
        <w:t>（3）乙方在投标时贿赂、拉拢甲方人员</w:t>
      </w:r>
      <w:r>
        <w:rPr>
          <w:rFonts w:hint="eastAsia" w:ascii="仿宋" w:hAnsi="仿宋" w:eastAsia="仿宋" w:cs="仿宋"/>
          <w:color w:val="auto"/>
          <w:sz w:val="28"/>
          <w:szCs w:val="28"/>
          <w:highlight w:val="none"/>
        </w:rPr>
        <w:t>；</w:t>
      </w:r>
    </w:p>
    <w:p w14:paraId="21902284">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（4）其他违反招投标相关规定的行为。</w:t>
      </w:r>
    </w:p>
    <w:p w14:paraId="39B4131D">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3.乙方保证，在合作过程中，乙方的管理人员、股东、</w:t>
      </w:r>
      <w:r>
        <w:rPr>
          <w:rFonts w:hint="eastAsia" w:ascii="仿宋" w:hAnsi="仿宋" w:eastAsia="仿宋" w:cs="仿宋"/>
          <w:color w:val="auto"/>
          <w:sz w:val="28"/>
          <w:szCs w:val="28"/>
          <w:highlight w:val="none"/>
        </w:rPr>
        <w:t>项目对接人员</w:t>
      </w:r>
      <w:r>
        <w:rPr>
          <w:rFonts w:hint="eastAsia" w:ascii="仿宋" w:hAnsi="仿宋" w:eastAsia="仿宋" w:cs="仿宋"/>
          <w:color w:val="auto"/>
          <w:sz w:val="28"/>
          <w:szCs w:val="28"/>
          <w:highlight w:val="none"/>
          <w:lang w:eastAsia="zh-Hans"/>
        </w:rPr>
        <w:t>与甲方项目有关的管理人员或</w:t>
      </w:r>
      <w:r>
        <w:rPr>
          <w:rFonts w:hint="eastAsia" w:ascii="仿宋" w:hAnsi="仿宋" w:eastAsia="仿宋" w:cs="仿宋"/>
          <w:color w:val="auto"/>
          <w:sz w:val="28"/>
          <w:szCs w:val="28"/>
          <w:highlight w:val="none"/>
        </w:rPr>
        <w:t>项目对接人</w:t>
      </w:r>
      <w:r>
        <w:rPr>
          <w:rFonts w:hint="eastAsia" w:ascii="仿宋" w:hAnsi="仿宋" w:eastAsia="仿宋" w:cs="仿宋"/>
          <w:color w:val="auto"/>
          <w:sz w:val="28"/>
          <w:szCs w:val="28"/>
          <w:highlight w:val="none"/>
          <w:lang w:eastAsia="zh-Hans"/>
        </w:rPr>
        <w:t>员不存在亲属关系、共同利益关系。</w:t>
      </w:r>
    </w:p>
    <w:p w14:paraId="48EFD41D">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4.乙方保证，在双方合作过程中，未接受甲方离职二年内的管理人员和关键业务人员在其公司参股、控股或任职。</w:t>
      </w:r>
    </w:p>
    <w:p w14:paraId="675243D2">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5.乙方保证，在合作过程中，乙方（含利益关联方）不得在甲方管理人员和关键业务人员的亲属（含特定关系人）的利益关联公司入股或发生有关业务。</w:t>
      </w:r>
    </w:p>
    <w:p w14:paraId="7F923B30">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6.乙方不得与甲方人员发生任何形式的财物往来，期间包括但不限于合同履约期间。</w:t>
      </w:r>
    </w:p>
    <w:p w14:paraId="4A9CD9C4">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Hans"/>
        </w:rPr>
        <w:t>若甲乙双方依照行业惯例或通常做法，可能发生商务性、礼节性的小额礼品互赠，则须在合同中明示，但每一年度累计金额不得超过1000元。</w:t>
      </w:r>
    </w:p>
    <w:p w14:paraId="4A6CC974">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（三）双方共同义务</w:t>
      </w:r>
    </w:p>
    <w:p w14:paraId="71E63CB5">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甲乙双方有关人员的商业贿赂行为构成犯罪并移交司法机关处理的，合同各方应积极配合司法机关的处理。</w:t>
      </w:r>
    </w:p>
    <w:p w14:paraId="53441B7B">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四、违约责任</w:t>
      </w:r>
    </w:p>
    <w:p w14:paraId="179B1523">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乙方违反本协议约定，拒不履行相关义务的，视为乙方违约。</w:t>
      </w:r>
    </w:p>
    <w:p w14:paraId="481E15CA">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701265BA">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——非自然年度累计价值在1000元（含）以上、5000元以下的，甲方将情况通报乙方，要求乙方作出说明，同时视情况可以要求乙方按照违约责任支付违约金、减少乙方供货量、暂停业务关系。</w:t>
      </w:r>
    </w:p>
    <w:p w14:paraId="20E9883F">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6F149B38">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——非自然年度累计价值在3万元（含）以上的，或采用隐瞒、欺骗等手段严重损害甲方利益的，甲方将情况通报乙方，要求乙方作出说明，同时要求乙方按照违约责任支付违约金，并应当将乙方列入黑名单。</w:t>
      </w:r>
    </w:p>
    <w:p w14:paraId="4FBA99BE">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1DE2E633">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3.若乙方存在本协议第三条第1款第3项、第三条第2款第2-6项、第四条“违约责任”第1款第三项</w:t>
      </w:r>
      <w:r>
        <w:rPr>
          <w:rFonts w:hint="eastAsia" w:ascii="仿宋" w:hAnsi="仿宋" w:eastAsia="仿宋" w:cs="仿宋"/>
          <w:color w:val="auto"/>
          <w:sz w:val="28"/>
          <w:szCs w:val="28"/>
          <w:highlight w:val="none"/>
          <w:lang w:eastAsia="zh-Hans"/>
        </w:rPr>
        <w:t>规定的任意一种行为，</w:t>
      </w:r>
      <w:r>
        <w:rPr>
          <w:rFonts w:hint="eastAsia" w:ascii="仿宋" w:hAnsi="仿宋" w:eastAsia="仿宋" w:cs="仿宋"/>
          <w:color w:val="auto"/>
          <w:sz w:val="28"/>
          <w:szCs w:val="28"/>
          <w:highlight w:val="none"/>
        </w:rPr>
        <w:t>甲方将</w:t>
      </w:r>
      <w:r>
        <w:rPr>
          <w:rFonts w:hint="eastAsia" w:ascii="仿宋" w:hAnsi="仿宋" w:eastAsia="仿宋" w:cs="仿宋"/>
          <w:color w:val="auto"/>
          <w:sz w:val="28"/>
          <w:szCs w:val="28"/>
          <w:highlight w:val="none"/>
          <w:lang w:eastAsia="zh-Hans"/>
        </w:rPr>
        <w:t>以书面通知</w:t>
      </w:r>
      <w:r>
        <w:rPr>
          <w:rFonts w:hint="eastAsia" w:ascii="仿宋" w:hAnsi="仿宋" w:eastAsia="仿宋" w:cs="仿宋"/>
          <w:color w:val="auto"/>
          <w:sz w:val="28"/>
          <w:szCs w:val="28"/>
          <w:highlight w:val="none"/>
        </w:rPr>
        <w:t>形式立即解除主合同，将乙方列入黑名单，并要求乙方</w:t>
      </w:r>
      <w:r>
        <w:rPr>
          <w:rFonts w:hint="eastAsia" w:ascii="仿宋" w:hAnsi="仿宋" w:eastAsia="仿宋" w:cs="仿宋"/>
          <w:color w:val="auto"/>
          <w:sz w:val="28"/>
          <w:szCs w:val="28"/>
          <w:highlight w:val="none"/>
          <w:lang w:eastAsia="zh-Hans"/>
        </w:rPr>
        <w:t>承担以下违约责任：</w:t>
      </w:r>
    </w:p>
    <w:p w14:paraId="20A806A2">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Hans"/>
        </w:rPr>
        <w:t>按主合同总价款的20%支付违约金。</w:t>
      </w:r>
    </w:p>
    <w:p w14:paraId="3F621250">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Hans"/>
        </w:rPr>
        <w:t>无主合同总价款的按照已发生业务总额的20%支付违约金；无主合同总价款且暂未发生业务的，扣除合同履约保证金。</w:t>
      </w:r>
    </w:p>
    <w:p w14:paraId="3A6CBC69">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Hans"/>
        </w:rPr>
        <w:t>因主合同解除造成甲方其他损失的，按照主合同约定赔偿损失。</w:t>
      </w:r>
    </w:p>
    <w:p w14:paraId="4597E831">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Hans"/>
        </w:rPr>
        <w:t>如乙方未按约定支付违约金，乙方同意并认可使用保证金、预付款、应付款等款项冲抵违约金。</w:t>
      </w:r>
    </w:p>
    <w:p w14:paraId="754A1AF5">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Hans"/>
        </w:rPr>
        <w:t>若乙方积极配合查处接受商业贿赂人员的，甲方可减少或免除相对应的违约金。</w:t>
      </w:r>
    </w:p>
    <w:p w14:paraId="00B8B3D3">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上述责任承担方式可单独适用，也可合并适用。</w:t>
      </w:r>
    </w:p>
    <w:p w14:paraId="007AB21B">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 xml:space="preserve">五、协议的生效、变更或解除 </w:t>
      </w:r>
    </w:p>
    <w:p w14:paraId="0780647B">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1.本协议为主合同的补充内容，与主合同具有同样的法律效力。</w:t>
      </w:r>
    </w:p>
    <w:p w14:paraId="618FFE0E">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2.</w:t>
      </w:r>
      <w:r>
        <w:rPr>
          <w:rFonts w:hint="eastAsia" w:ascii="仿宋" w:hAnsi="仿宋" w:eastAsia="仿宋" w:cs="仿宋"/>
          <w:color w:val="auto"/>
          <w:sz w:val="28"/>
          <w:szCs w:val="28"/>
          <w:highlight w:val="none"/>
        </w:rPr>
        <w:t>本协议及</w:t>
      </w:r>
      <w:r>
        <w:rPr>
          <w:rFonts w:hint="eastAsia" w:ascii="仿宋" w:hAnsi="仿宋" w:eastAsia="仿宋" w:cs="仿宋"/>
          <w:color w:val="auto"/>
          <w:sz w:val="28"/>
          <w:szCs w:val="28"/>
          <w:highlight w:val="none"/>
          <w:lang w:eastAsia="zh-Hans"/>
        </w:rPr>
        <w:t>主合同终止，本协议仍具有追溯相关责任的法律效力。</w:t>
      </w:r>
    </w:p>
    <w:p w14:paraId="5DC6223E">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 xml:space="preserve">3.本协议的生效日期：自甲乙双方签字盖章之日起生效。 </w:t>
      </w:r>
    </w:p>
    <w:p w14:paraId="051436B6">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六、争议解决条款</w:t>
      </w:r>
    </w:p>
    <w:p w14:paraId="13BB33E4">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因履行本协议发生的任何纠纷，双方协商解决；如协商不成时，争议解决方式与主合同一致。</w:t>
      </w:r>
    </w:p>
    <w:p w14:paraId="2F52C7ED">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七、其他</w:t>
      </w:r>
    </w:p>
    <w:p w14:paraId="54C00F36">
      <w:pPr>
        <w:tabs>
          <w:tab w:val="left" w:pos="1134"/>
        </w:tabs>
        <w:adjustRightInd w:val="0"/>
        <w:snapToGrid w:val="0"/>
        <w:spacing w:line="360" w:lineRule="auto"/>
        <w:ind w:firstLine="560" w:firstLineChars="200"/>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1.甲乙双方确认在签订本协议前已仔细阅读上述条款内容，对本协议所产生的法律责任已清楚知悉并承诺遵守。</w:t>
      </w:r>
    </w:p>
    <w:p w14:paraId="6B20284A">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2.本协议签订及甲乙双方各自持有份数均与主合同份数保持一致。</w:t>
      </w:r>
    </w:p>
    <w:p w14:paraId="16C774FE">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6AF4E689">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p>
    <w:p w14:paraId="78F200C0">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甲方：（盖章）</w:t>
      </w:r>
    </w:p>
    <w:p w14:paraId="7385983C">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代表人签字：</w:t>
      </w:r>
    </w:p>
    <w:p w14:paraId="387032D7">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0C96CD7C">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签字日期：</w:t>
      </w:r>
    </w:p>
    <w:p w14:paraId="7CDE7399">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p>
    <w:p w14:paraId="746B6E86">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乙方：（盖章）</w:t>
      </w:r>
    </w:p>
    <w:p w14:paraId="3DFA1877">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代表人签字：</w:t>
      </w:r>
    </w:p>
    <w:p w14:paraId="507D9C24">
      <w:pPr>
        <w:tabs>
          <w:tab w:val="left" w:pos="1134"/>
        </w:tabs>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0A8144F9">
      <w:pPr>
        <w:widowControl/>
        <w:adjustRightInd w:val="0"/>
        <w:snapToGrid w:val="0"/>
        <w:spacing w:line="360" w:lineRule="auto"/>
        <w:ind w:firstLine="560" w:firstLineChars="200"/>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3C294B"/>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84A84"/>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1C54B55"/>
    <w:rsid w:val="022C10F3"/>
    <w:rsid w:val="0319454E"/>
    <w:rsid w:val="03692583"/>
    <w:rsid w:val="04864A9B"/>
    <w:rsid w:val="04CB4348"/>
    <w:rsid w:val="04CD5176"/>
    <w:rsid w:val="04D37589"/>
    <w:rsid w:val="05446710"/>
    <w:rsid w:val="055135C4"/>
    <w:rsid w:val="05F63A97"/>
    <w:rsid w:val="05FB7B8F"/>
    <w:rsid w:val="0608138F"/>
    <w:rsid w:val="06497A35"/>
    <w:rsid w:val="07216AE2"/>
    <w:rsid w:val="07555A25"/>
    <w:rsid w:val="07715268"/>
    <w:rsid w:val="07F947ED"/>
    <w:rsid w:val="081E5734"/>
    <w:rsid w:val="088F7A1A"/>
    <w:rsid w:val="08CF0506"/>
    <w:rsid w:val="08D34766"/>
    <w:rsid w:val="08DB473A"/>
    <w:rsid w:val="08EF6AC2"/>
    <w:rsid w:val="090917CB"/>
    <w:rsid w:val="098E4DDC"/>
    <w:rsid w:val="09AE1D07"/>
    <w:rsid w:val="09E13D9B"/>
    <w:rsid w:val="0A191365"/>
    <w:rsid w:val="0A3127B5"/>
    <w:rsid w:val="0A5148B3"/>
    <w:rsid w:val="0AC16ABD"/>
    <w:rsid w:val="0ACD1112"/>
    <w:rsid w:val="0B776CC6"/>
    <w:rsid w:val="0BB439AC"/>
    <w:rsid w:val="0BCE4606"/>
    <w:rsid w:val="0C8C1339"/>
    <w:rsid w:val="0D191BE1"/>
    <w:rsid w:val="0D8C1FCE"/>
    <w:rsid w:val="0E7E0566"/>
    <w:rsid w:val="0EA42601"/>
    <w:rsid w:val="0EAA7742"/>
    <w:rsid w:val="0F476230"/>
    <w:rsid w:val="0F977B31"/>
    <w:rsid w:val="0F991612"/>
    <w:rsid w:val="0F9E3BE6"/>
    <w:rsid w:val="11BD13A5"/>
    <w:rsid w:val="129973FF"/>
    <w:rsid w:val="132C2A20"/>
    <w:rsid w:val="137B5808"/>
    <w:rsid w:val="13840C20"/>
    <w:rsid w:val="13A6796B"/>
    <w:rsid w:val="13D26F2C"/>
    <w:rsid w:val="14547260"/>
    <w:rsid w:val="150F0169"/>
    <w:rsid w:val="1527707C"/>
    <w:rsid w:val="15BE44B8"/>
    <w:rsid w:val="15DC0BC8"/>
    <w:rsid w:val="16436D08"/>
    <w:rsid w:val="16571DC8"/>
    <w:rsid w:val="167F2C0C"/>
    <w:rsid w:val="16E12982"/>
    <w:rsid w:val="16EB7643"/>
    <w:rsid w:val="170A4CC0"/>
    <w:rsid w:val="17120E59"/>
    <w:rsid w:val="171A4BA4"/>
    <w:rsid w:val="17A34DD2"/>
    <w:rsid w:val="17E52734"/>
    <w:rsid w:val="18555B48"/>
    <w:rsid w:val="18652676"/>
    <w:rsid w:val="188047C9"/>
    <w:rsid w:val="18C83CEE"/>
    <w:rsid w:val="1902112B"/>
    <w:rsid w:val="1A18361C"/>
    <w:rsid w:val="1A205250"/>
    <w:rsid w:val="1A4B0D84"/>
    <w:rsid w:val="1AEE4A81"/>
    <w:rsid w:val="1B8906FC"/>
    <w:rsid w:val="1BA234E8"/>
    <w:rsid w:val="1BD25CF1"/>
    <w:rsid w:val="1BE05733"/>
    <w:rsid w:val="1BEE0CC5"/>
    <w:rsid w:val="1CD92A86"/>
    <w:rsid w:val="1D045E7E"/>
    <w:rsid w:val="1D2E6FE8"/>
    <w:rsid w:val="1D303373"/>
    <w:rsid w:val="1D86279B"/>
    <w:rsid w:val="1D8C0DA1"/>
    <w:rsid w:val="1DBB4C44"/>
    <w:rsid w:val="1E2419E1"/>
    <w:rsid w:val="1E363DC4"/>
    <w:rsid w:val="1E5F7ACC"/>
    <w:rsid w:val="1EC7494E"/>
    <w:rsid w:val="1F83778A"/>
    <w:rsid w:val="202A53EE"/>
    <w:rsid w:val="205D6CBF"/>
    <w:rsid w:val="21300ADF"/>
    <w:rsid w:val="213B4094"/>
    <w:rsid w:val="21AF1B36"/>
    <w:rsid w:val="21D56D2D"/>
    <w:rsid w:val="21E8421C"/>
    <w:rsid w:val="22C344E3"/>
    <w:rsid w:val="22C42F77"/>
    <w:rsid w:val="22E2588F"/>
    <w:rsid w:val="22E62D3E"/>
    <w:rsid w:val="237160D1"/>
    <w:rsid w:val="23E34D81"/>
    <w:rsid w:val="2450260E"/>
    <w:rsid w:val="24832F32"/>
    <w:rsid w:val="24864284"/>
    <w:rsid w:val="25167458"/>
    <w:rsid w:val="253D3FEF"/>
    <w:rsid w:val="257E7E31"/>
    <w:rsid w:val="25C44658"/>
    <w:rsid w:val="26C54E36"/>
    <w:rsid w:val="27A110F5"/>
    <w:rsid w:val="281C3D2E"/>
    <w:rsid w:val="286745BE"/>
    <w:rsid w:val="286D4544"/>
    <w:rsid w:val="28992513"/>
    <w:rsid w:val="289F0154"/>
    <w:rsid w:val="2A505D3B"/>
    <w:rsid w:val="2A936DFF"/>
    <w:rsid w:val="2B110340"/>
    <w:rsid w:val="2B1B7EB7"/>
    <w:rsid w:val="2B55240C"/>
    <w:rsid w:val="2B5C51D1"/>
    <w:rsid w:val="2B70280F"/>
    <w:rsid w:val="2B856311"/>
    <w:rsid w:val="2BAC1E16"/>
    <w:rsid w:val="2C020344"/>
    <w:rsid w:val="2CC82C80"/>
    <w:rsid w:val="2CE65BE8"/>
    <w:rsid w:val="2D2113F9"/>
    <w:rsid w:val="2D2E54AB"/>
    <w:rsid w:val="2D300509"/>
    <w:rsid w:val="2D5533FD"/>
    <w:rsid w:val="2D88240F"/>
    <w:rsid w:val="2D9D1FA4"/>
    <w:rsid w:val="2DFC3F11"/>
    <w:rsid w:val="2E5171F3"/>
    <w:rsid w:val="2EDC2A13"/>
    <w:rsid w:val="2FAF2966"/>
    <w:rsid w:val="30713277"/>
    <w:rsid w:val="311100D9"/>
    <w:rsid w:val="312E16A3"/>
    <w:rsid w:val="31903F88"/>
    <w:rsid w:val="3198620B"/>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E82428"/>
    <w:rsid w:val="3841209E"/>
    <w:rsid w:val="3848463C"/>
    <w:rsid w:val="38962EE8"/>
    <w:rsid w:val="3A6A7888"/>
    <w:rsid w:val="3A7546EA"/>
    <w:rsid w:val="3AF17DC9"/>
    <w:rsid w:val="3B950B19"/>
    <w:rsid w:val="3BA1126C"/>
    <w:rsid w:val="3C2E7B2E"/>
    <w:rsid w:val="3C4E3C34"/>
    <w:rsid w:val="3C7301F1"/>
    <w:rsid w:val="3CAF3C5D"/>
    <w:rsid w:val="3D792ACB"/>
    <w:rsid w:val="3D8C6A13"/>
    <w:rsid w:val="3E815973"/>
    <w:rsid w:val="3F1F42B7"/>
    <w:rsid w:val="3F7240EB"/>
    <w:rsid w:val="3FA0014F"/>
    <w:rsid w:val="3FAF1C5C"/>
    <w:rsid w:val="3FCD8C1D"/>
    <w:rsid w:val="3FDB4108"/>
    <w:rsid w:val="4025625A"/>
    <w:rsid w:val="40B966CD"/>
    <w:rsid w:val="40F93CAA"/>
    <w:rsid w:val="41452FE4"/>
    <w:rsid w:val="41464513"/>
    <w:rsid w:val="42044C81"/>
    <w:rsid w:val="42915828"/>
    <w:rsid w:val="4358270E"/>
    <w:rsid w:val="439F76B3"/>
    <w:rsid w:val="43C95804"/>
    <w:rsid w:val="44864AA0"/>
    <w:rsid w:val="44A66E7C"/>
    <w:rsid w:val="44BC6AA8"/>
    <w:rsid w:val="44E26E48"/>
    <w:rsid w:val="44FA5A84"/>
    <w:rsid w:val="45EF45C4"/>
    <w:rsid w:val="46052D96"/>
    <w:rsid w:val="468679DC"/>
    <w:rsid w:val="46A0383F"/>
    <w:rsid w:val="46DB7B00"/>
    <w:rsid w:val="46EE6F59"/>
    <w:rsid w:val="483D746A"/>
    <w:rsid w:val="48D26E94"/>
    <w:rsid w:val="492F1BC7"/>
    <w:rsid w:val="4981448B"/>
    <w:rsid w:val="49870082"/>
    <w:rsid w:val="49DC7359"/>
    <w:rsid w:val="4ACB3DE1"/>
    <w:rsid w:val="4BAC561A"/>
    <w:rsid w:val="4C0439C1"/>
    <w:rsid w:val="4D9C1893"/>
    <w:rsid w:val="4DB94ADB"/>
    <w:rsid w:val="4E4966F7"/>
    <w:rsid w:val="4E5D3C82"/>
    <w:rsid w:val="4EEE64D7"/>
    <w:rsid w:val="4F034298"/>
    <w:rsid w:val="501F215E"/>
    <w:rsid w:val="505F2D88"/>
    <w:rsid w:val="50623A2E"/>
    <w:rsid w:val="514318D7"/>
    <w:rsid w:val="52704994"/>
    <w:rsid w:val="5294315D"/>
    <w:rsid w:val="52972612"/>
    <w:rsid w:val="52CA3A2D"/>
    <w:rsid w:val="530806DE"/>
    <w:rsid w:val="537D4134"/>
    <w:rsid w:val="538A0B3C"/>
    <w:rsid w:val="5415414D"/>
    <w:rsid w:val="54A31902"/>
    <w:rsid w:val="54BE3EA7"/>
    <w:rsid w:val="5512068D"/>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13D91"/>
    <w:rsid w:val="577F7102"/>
    <w:rsid w:val="58111172"/>
    <w:rsid w:val="585C49E5"/>
    <w:rsid w:val="586F0457"/>
    <w:rsid w:val="590D2BD1"/>
    <w:rsid w:val="5A1703F0"/>
    <w:rsid w:val="5A3103F4"/>
    <w:rsid w:val="5A695504"/>
    <w:rsid w:val="5A876881"/>
    <w:rsid w:val="5ABC1F69"/>
    <w:rsid w:val="5B0C46C9"/>
    <w:rsid w:val="5B1A0180"/>
    <w:rsid w:val="5B211D7B"/>
    <w:rsid w:val="5B320CFC"/>
    <w:rsid w:val="5BC9255F"/>
    <w:rsid w:val="5BF210F2"/>
    <w:rsid w:val="5C8345EE"/>
    <w:rsid w:val="5CDB6FB7"/>
    <w:rsid w:val="5DA93220"/>
    <w:rsid w:val="5DD040EF"/>
    <w:rsid w:val="5EB66189"/>
    <w:rsid w:val="5FAD37A1"/>
    <w:rsid w:val="5FFC5BA4"/>
    <w:rsid w:val="6082700E"/>
    <w:rsid w:val="60FD1121"/>
    <w:rsid w:val="6101510A"/>
    <w:rsid w:val="611B37BA"/>
    <w:rsid w:val="619620EB"/>
    <w:rsid w:val="61F5548B"/>
    <w:rsid w:val="61F67600"/>
    <w:rsid w:val="62251D84"/>
    <w:rsid w:val="622B733C"/>
    <w:rsid w:val="623E0462"/>
    <w:rsid w:val="62764FAB"/>
    <w:rsid w:val="628F156F"/>
    <w:rsid w:val="62EF7FF6"/>
    <w:rsid w:val="634B430F"/>
    <w:rsid w:val="63D22876"/>
    <w:rsid w:val="63D47C8E"/>
    <w:rsid w:val="63F05E0D"/>
    <w:rsid w:val="64137491"/>
    <w:rsid w:val="64697AA1"/>
    <w:rsid w:val="649E5D3C"/>
    <w:rsid w:val="64EA4CE8"/>
    <w:rsid w:val="65107E6C"/>
    <w:rsid w:val="653C4D87"/>
    <w:rsid w:val="6580104F"/>
    <w:rsid w:val="659D3354"/>
    <w:rsid w:val="66106E6A"/>
    <w:rsid w:val="6646550E"/>
    <w:rsid w:val="66C43787"/>
    <w:rsid w:val="684A0189"/>
    <w:rsid w:val="695569BF"/>
    <w:rsid w:val="696C7ACD"/>
    <w:rsid w:val="69B813AB"/>
    <w:rsid w:val="69D81B09"/>
    <w:rsid w:val="69F866F7"/>
    <w:rsid w:val="69FB553B"/>
    <w:rsid w:val="6A05798A"/>
    <w:rsid w:val="6A3274DB"/>
    <w:rsid w:val="6A37428B"/>
    <w:rsid w:val="6A467039"/>
    <w:rsid w:val="6A495DD7"/>
    <w:rsid w:val="6A5C61DA"/>
    <w:rsid w:val="6AC95853"/>
    <w:rsid w:val="6B5925FD"/>
    <w:rsid w:val="6BD72F6C"/>
    <w:rsid w:val="6C951F56"/>
    <w:rsid w:val="6CF8394D"/>
    <w:rsid w:val="6D214429"/>
    <w:rsid w:val="6D821B8D"/>
    <w:rsid w:val="6DBB528E"/>
    <w:rsid w:val="6DF70B9F"/>
    <w:rsid w:val="6E0F4C7F"/>
    <w:rsid w:val="6EB209C8"/>
    <w:rsid w:val="6F156A53"/>
    <w:rsid w:val="6F1E7F02"/>
    <w:rsid w:val="6F256E01"/>
    <w:rsid w:val="6F2B900B"/>
    <w:rsid w:val="6F3C641B"/>
    <w:rsid w:val="6F3D7060"/>
    <w:rsid w:val="6F6C470B"/>
    <w:rsid w:val="6FD929F5"/>
    <w:rsid w:val="7030723E"/>
    <w:rsid w:val="71226D3A"/>
    <w:rsid w:val="713C553F"/>
    <w:rsid w:val="71B2527A"/>
    <w:rsid w:val="71D02427"/>
    <w:rsid w:val="71FA5FC9"/>
    <w:rsid w:val="721245BB"/>
    <w:rsid w:val="7234149C"/>
    <w:rsid w:val="72443C1B"/>
    <w:rsid w:val="738C7F28"/>
    <w:rsid w:val="73A51698"/>
    <w:rsid w:val="73B1259F"/>
    <w:rsid w:val="73F27641"/>
    <w:rsid w:val="7448595E"/>
    <w:rsid w:val="747D56CB"/>
    <w:rsid w:val="74B370EA"/>
    <w:rsid w:val="74BB18E9"/>
    <w:rsid w:val="75175D2D"/>
    <w:rsid w:val="75E9502A"/>
    <w:rsid w:val="76505678"/>
    <w:rsid w:val="76BE191E"/>
    <w:rsid w:val="76D10EBE"/>
    <w:rsid w:val="76F224C3"/>
    <w:rsid w:val="77446B53"/>
    <w:rsid w:val="77874C68"/>
    <w:rsid w:val="77C25E33"/>
    <w:rsid w:val="77C36EA2"/>
    <w:rsid w:val="77CC6002"/>
    <w:rsid w:val="77D630EC"/>
    <w:rsid w:val="77DD61CF"/>
    <w:rsid w:val="783469E8"/>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3E5C13"/>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unhideWhenUsed/>
    <w:qFormat/>
    <w:uiPriority w:val="99"/>
    <w:pPr>
      <w:ind w:firstLine="420" w:firstLineChars="20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8644</Words>
  <Characters>9946</Characters>
  <Lines>120</Lines>
  <Paragraphs>34</Paragraphs>
  <TotalTime>26</TotalTime>
  <ScaleCrop>false</ScaleCrop>
  <LinksUpToDate>false</LinksUpToDate>
  <CharactersWithSpaces>10447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oО喵喵Оo</cp:lastModifiedBy>
  <dcterms:modified xsi:type="dcterms:W3CDTF">2025-05-26T03:10:06Z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EE7D25AF4BE04909A26B022684E76A16_13</vt:lpwstr>
  </property>
  <property fmtid="{D5CDD505-2E9C-101B-9397-08002B2CF9AE}" pid="4" name="KSOTemplateDocerSaveRecord">
    <vt:lpwstr>eyJoZGlkIjoiZWQxY2YyNGY5MWNiMGQ1MTM0OWMyOTFmNWRmMDAzNjMiLCJ1c2VySWQiOiIzNTgzMzgxMTMifQ==</vt:lpwstr>
  </property>
</Properties>
</file>