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76A1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蒙牛乳业低温天津工厂原料间升降机购置项目</w:t>
      </w:r>
    </w:p>
    <w:p w14:paraId="7D92CB04">
      <w:pPr>
        <w:shd w:val="clear" w:color="auto" w:fill="FFFFFF"/>
        <w:wordWrap w:val="0"/>
        <w:snapToGrid w:val="0"/>
        <w:spacing w:line="360" w:lineRule="auto"/>
        <w:jc w:val="center"/>
        <w:rPr>
          <w:rFonts w:hint="eastAsia" w:asciiTheme="majorEastAsia" w:hAnsiTheme="majorEastAsia" w:eastAsiaTheme="majorEastAsia" w:cstheme="majorEastAsia"/>
          <w:b/>
          <w:bCs/>
          <w:kern w:val="0"/>
          <w:sz w:val="28"/>
          <w:szCs w:val="28"/>
          <w:highlight w:val="none"/>
        </w:rPr>
      </w:pPr>
      <w:r>
        <w:rPr>
          <w:rFonts w:hint="eastAsia" w:asciiTheme="majorEastAsia" w:hAnsiTheme="majorEastAsia" w:eastAsiaTheme="majorEastAsia" w:cstheme="majorEastAsia"/>
          <w:b/>
          <w:bCs/>
          <w:kern w:val="0"/>
          <w:sz w:val="28"/>
          <w:szCs w:val="28"/>
          <w:highlight w:val="none"/>
        </w:rPr>
        <w:t>询比价信息公告</w:t>
      </w:r>
    </w:p>
    <w:p w14:paraId="545B7695">
      <w:pPr>
        <w:wordWrap w:val="0"/>
        <w:spacing w:line="360" w:lineRule="auto"/>
        <w:ind w:firstLine="480" w:firstLineChars="200"/>
        <w:rPr>
          <w:rFonts w:hint="eastAsia" w:ascii="仿宋" w:hAnsi="仿宋" w:eastAsia="仿宋_GB2312" w:cs="仿宋"/>
          <w:sz w:val="24"/>
          <w:highlight w:val="none"/>
        </w:rPr>
      </w:pPr>
      <w:r>
        <w:rPr>
          <w:rFonts w:hint="eastAsia" w:ascii="仿宋_GB2312" w:hAnsi="宋体" w:eastAsia="仿宋_GB2312"/>
          <w:sz w:val="24"/>
          <w:highlight w:val="none"/>
        </w:rPr>
        <w:t>内蒙古蒙牛乳业（集团）股份有限公司就蒙牛乳业低温天津工厂原料间升降机购置项目进行询比价,欢迎符合资格条件的供应商参加。</w:t>
      </w:r>
    </w:p>
    <w:p w14:paraId="56A71D2C">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一、项目编号：MNCGJH-20250703-0005</w:t>
      </w:r>
    </w:p>
    <w:p w14:paraId="21E0385E">
      <w:pPr>
        <w:wordWrap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二、项目名称：蒙牛乳业低温天津工厂原料间升降机购置项目</w:t>
      </w:r>
    </w:p>
    <w:p w14:paraId="07E46AF1">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三、项目概况：</w:t>
      </w:r>
    </w:p>
    <w:p w14:paraId="2868AD4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1、工程简介</w:t>
      </w:r>
    </w:p>
    <w:p w14:paraId="424583BA">
      <w:pPr>
        <w:wordWrap w:val="0"/>
        <w:spacing w:line="360" w:lineRule="auto"/>
        <w:ind w:firstLine="482" w:firstLineChars="200"/>
        <w:rPr>
          <w:rFonts w:hint="eastAsia" w:ascii="仿宋" w:hAnsi="仿宋" w:eastAsia="仿宋" w:cs="仿宋"/>
          <w:b w:val="0"/>
          <w:bCs/>
          <w:sz w:val="24"/>
          <w:highlight w:val="none"/>
        </w:rPr>
      </w:pPr>
      <w:r>
        <w:rPr>
          <w:rFonts w:hint="eastAsia" w:ascii="仿宋" w:hAnsi="仿宋" w:eastAsia="仿宋" w:cs="仿宋"/>
          <w:b/>
          <w:sz w:val="24"/>
          <w:highlight w:val="none"/>
        </w:rPr>
        <w:t>1</w:t>
      </w:r>
      <w:r>
        <w:rPr>
          <w:rFonts w:hint="eastAsia" w:ascii="仿宋" w:hAnsi="仿宋" w:eastAsia="仿宋" w:cs="仿宋"/>
          <w:b w:val="0"/>
          <w:bCs/>
          <w:sz w:val="24"/>
          <w:highlight w:val="none"/>
        </w:rPr>
        <w:t>、概况：蒙牛乳业低温天津工厂原料间升降机平台为建厂时安装，已经使用14年，年久失修，故障频繁，存在安全隐患。</w:t>
      </w:r>
    </w:p>
    <w:p w14:paraId="56441D95">
      <w:pPr>
        <w:wordWrap w:val="0"/>
        <w:spacing w:line="360" w:lineRule="auto"/>
        <w:ind w:firstLine="480" w:firstLineChars="200"/>
        <w:rPr>
          <w:rFonts w:hint="eastAsia" w:ascii="仿宋" w:hAnsi="仿宋" w:eastAsia="仿宋" w:cs="仿宋"/>
          <w:b w:val="0"/>
          <w:bCs/>
          <w:sz w:val="24"/>
          <w:highlight w:val="none"/>
        </w:rPr>
      </w:pPr>
      <w:r>
        <w:rPr>
          <w:rFonts w:hint="eastAsia" w:ascii="仿宋" w:hAnsi="仿宋" w:eastAsia="仿宋" w:cs="仿宋"/>
          <w:b w:val="0"/>
          <w:bCs/>
          <w:sz w:val="24"/>
          <w:highlight w:val="none"/>
        </w:rPr>
        <w:t>2、询比价范围：新购升降机平台安装调试及旧升降平台拆除，新购升降机平台设备按照特种设备管理。</w:t>
      </w:r>
    </w:p>
    <w:p w14:paraId="485C629D">
      <w:pPr>
        <w:wordWrap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四、资格要求： </w:t>
      </w:r>
    </w:p>
    <w:p w14:paraId="4C09BA1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1、投标人必须是在中华人民共和国境内注册的具有独立法人资格的企业单位；</w:t>
      </w:r>
    </w:p>
    <w:p w14:paraId="20135E1E">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2、投标人必须具有一般纳税人资格，且为正常纳税企业</w:t>
      </w:r>
      <w:r>
        <w:rPr>
          <w:rFonts w:hint="eastAsia" w:ascii="仿宋_GB2312" w:hAnsi="宋体" w:eastAsia="仿宋_GB2312" w:cs="Arial"/>
          <w:color w:val="auto"/>
          <w:sz w:val="24"/>
          <w:highlight w:val="none"/>
        </w:rPr>
        <w:t>；</w:t>
      </w:r>
    </w:p>
    <w:p w14:paraId="6B516374">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3、投标人授权委托人必须是本企业在职人员；</w:t>
      </w:r>
    </w:p>
    <w:p w14:paraId="59B8ADEC">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为制造商的，应当依法取得C级及以上《中华人民共和国特种设备生产许可证》。供应商为代理商的，所投产品制造商需具备上述制造商的要求，代理商本身应具有《中华人民共和国特种设备安装改造维修许可证》。</w:t>
      </w:r>
    </w:p>
    <w:p w14:paraId="2F5148EA">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投标人2022年1月1日至今须具有2个及以上类似项目业绩（以合同或验收报告为准）；</w:t>
      </w:r>
    </w:p>
    <w:p w14:paraId="7A21E302">
      <w:pPr>
        <w:wordWrap w:val="0"/>
        <w:spacing w:line="360" w:lineRule="auto"/>
        <w:ind w:firstLine="480" w:firstLineChars="200"/>
        <w:rPr>
          <w:rFonts w:hint="eastAsia" w:ascii="仿宋" w:hAnsi="仿宋" w:eastAsia="仿宋"/>
          <w:b/>
          <w:i/>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s="仿宋"/>
          <w:color w:val="auto"/>
          <w:sz w:val="24"/>
          <w:highlight w:val="none"/>
        </w:rPr>
        <w:t>、投标人须具有良好的财务状况；</w:t>
      </w:r>
    </w:p>
    <w:p w14:paraId="4481CED2">
      <w:pPr>
        <w:wordWrap w:val="0"/>
        <w:spacing w:line="360" w:lineRule="auto"/>
        <w:ind w:firstLine="480" w:firstLineChars="200"/>
        <w:rPr>
          <w:rFonts w:hint="eastAsia" w:ascii="仿宋" w:hAnsi="仿宋" w:eastAsia="仿宋"/>
          <w:b/>
          <w:i/>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、本次招标不接受多家单位联合投标</w:t>
      </w:r>
      <w:r>
        <w:rPr>
          <w:rFonts w:hint="eastAsia" w:ascii="仿宋" w:hAnsi="仿宋" w:eastAsia="仿宋"/>
          <w:b/>
          <w:color w:val="auto"/>
          <w:sz w:val="24"/>
          <w:highlight w:val="none"/>
        </w:rPr>
        <w:t>，</w:t>
      </w:r>
      <w:r>
        <w:rPr>
          <w:rFonts w:hint="eastAsia" w:ascii="仿宋" w:hAnsi="仿宋" w:eastAsia="仿宋"/>
          <w:color w:val="auto"/>
          <w:sz w:val="24"/>
          <w:highlight w:val="none"/>
        </w:rPr>
        <w:t>也不允许违法分包或转包。</w:t>
      </w:r>
    </w:p>
    <w:p w14:paraId="3D960CB2">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、投标人未被列入国家企业信用信息公示系统（</w:t>
      </w:r>
      <w:r>
        <w:rPr>
          <w:color w:val="auto"/>
          <w:highlight w:val="none"/>
        </w:rPr>
        <w:fldChar w:fldCharType="begin"/>
      </w:r>
      <w:r>
        <w:rPr>
          <w:color w:val="auto"/>
          <w:highlight w:val="none"/>
        </w:rPr>
        <w:instrText xml:space="preserve"> HYPERLINK "http://www.gsxt.gov.cn/index.html%EF%BC%89%E4%B8%A5%E9%87%8D%E8%BF%9D%E6%B3%95%E5%A4%B1%E4%BF%A1%E4%BC%81%E4%B8%9A%E5%90%8D%E5%8D%95" \t "_blank" </w:instrText>
      </w:r>
      <w:r>
        <w:rPr>
          <w:color w:val="auto"/>
          <w:highlight w:val="none"/>
        </w:rPr>
        <w:fldChar w:fldCharType="separate"/>
      </w:r>
      <w:r>
        <w:rPr>
          <w:rFonts w:hint="eastAsia" w:ascii="仿宋" w:hAnsi="仿宋" w:eastAsia="仿宋"/>
          <w:color w:val="auto"/>
          <w:sz w:val="24"/>
          <w:highlight w:val="none"/>
        </w:rPr>
        <w:t>http://www.gsxt.gov.cn/index.html）严重违法失信企业名单</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w:t>
      </w:r>
    </w:p>
    <w:p w14:paraId="547FE837">
      <w:pPr>
        <w:wordWrap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982AF14">
      <w:pPr>
        <w:wordWrap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10</w:t>
      </w:r>
      <w:r>
        <w:rPr>
          <w:rFonts w:ascii="仿宋" w:hAnsi="仿宋" w:eastAsia="仿宋"/>
          <w:color w:val="auto"/>
          <w:sz w:val="24"/>
          <w:highlight w:val="none"/>
        </w:rPr>
        <w:t>、</w:t>
      </w:r>
      <w:r>
        <w:rPr>
          <w:rFonts w:hint="eastAsia" w:ascii="仿宋" w:hAnsi="仿宋" w:eastAsia="仿宋" w:cs="仿宋"/>
          <w:color w:val="auto"/>
          <w:sz w:val="24"/>
          <w:highlight w:val="none"/>
        </w:rPr>
        <w:t>不接受中粮及蒙牛供应商黑名单（以蒙牛集团采购招标管理部下发的黑名单为准）的企业参与投标。</w:t>
      </w:r>
    </w:p>
    <w:p w14:paraId="6B9F431B">
      <w:pPr>
        <w:wordWrap w:val="0"/>
        <w:spacing w:line="360" w:lineRule="auto"/>
        <w:ind w:firstLine="482" w:firstLineChars="200"/>
        <w:rPr>
          <w:rFonts w:hint="eastAsia" w:ascii="仿宋" w:hAnsi="仿宋" w:eastAsia="仿宋"/>
          <w:b/>
          <w:i/>
          <w:color w:val="FF0000"/>
          <w:sz w:val="24"/>
          <w:highlight w:val="none"/>
        </w:rPr>
      </w:pPr>
      <w:r>
        <w:rPr>
          <w:rFonts w:hint="eastAsia" w:ascii="仿宋_GB2312" w:hAnsi="宋体" w:eastAsia="仿宋_GB2312"/>
          <w:b/>
          <w:color w:val="000000"/>
          <w:sz w:val="24"/>
          <w:highlight w:val="none"/>
        </w:rPr>
        <w:t>五、报名须知</w:t>
      </w:r>
    </w:p>
    <w:p w14:paraId="79649C1C">
      <w:pPr>
        <w:wordWrap w:val="0"/>
        <w:spacing w:line="360" w:lineRule="auto"/>
        <w:ind w:firstLine="480" w:firstLineChars="200"/>
        <w:rPr>
          <w:rFonts w:hint="eastAsia" w:ascii="仿宋" w:hAnsi="仿宋" w:eastAsia="仿宋" w:cs="仿宋"/>
          <w:sz w:val="24"/>
          <w:highlight w:val="none"/>
        </w:rPr>
      </w:pPr>
      <w:bookmarkStart w:id="3" w:name="_GoBack"/>
      <w:r>
        <w:rPr>
          <w:rFonts w:hint="eastAsia" w:ascii="仿宋" w:hAnsi="仿宋" w:eastAsia="仿宋" w:cs="仿宋"/>
          <w:sz w:val="24"/>
          <w:highlight w:val="none"/>
        </w:rPr>
        <w:t>1、报名方式：</w:t>
      </w:r>
    </w:p>
    <w:p w14:paraId="1810DCE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58965D90">
      <w:pPr>
        <w:wordWrap w:val="0"/>
        <w:adjustRightInd w:val="0"/>
        <w:snapToGrid w:val="0"/>
        <w:spacing w:line="360" w:lineRule="auto"/>
        <w:ind w:firstLine="480" w:firstLineChars="200"/>
        <w:rPr>
          <w:rFonts w:hint="eastAsia" w:ascii="仿宋_GB2312" w:hAnsi="宋体" w:eastAsia="仿宋_GB2312"/>
          <w:b/>
          <w:sz w:val="24"/>
          <w:highlight w:val="none"/>
        </w:rPr>
      </w:pPr>
      <w:r>
        <w:rPr>
          <w:rFonts w:hint="eastAsia" w:ascii="仿宋" w:hAnsi="仿宋" w:eastAsia="仿宋" w:cs="仿宋"/>
          <w:sz w:val="24"/>
          <w:highlight w:val="none"/>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w:t>
      </w:r>
    </w:p>
    <w:p w14:paraId="27843DE8">
      <w:p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2、报名资格文件按照如下要求提供：</w:t>
      </w:r>
    </w:p>
    <w:p w14:paraId="4C9751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（1）提供有效的营业执照和有效的开户行许可证</w:t>
      </w:r>
      <w:r>
        <w:rPr>
          <w:rFonts w:hint="eastAsia" w:ascii="仿宋_GB2312" w:hAnsi="宋体" w:eastAsia="仿宋_GB2312" w:cs="Arial"/>
          <w:sz w:val="24"/>
          <w:highlight w:val="none"/>
          <w:lang w:bidi="ar"/>
        </w:rPr>
        <w:t>或基本存款账户信息</w:t>
      </w:r>
      <w:r>
        <w:rPr>
          <w:rFonts w:hint="eastAsia" w:ascii="仿宋" w:hAnsi="仿宋" w:eastAsia="仿宋" w:cs="仿宋"/>
          <w:sz w:val="24"/>
          <w:highlight w:val="none"/>
        </w:rPr>
        <w:t>；</w:t>
      </w:r>
    </w:p>
    <w:p w14:paraId="2C0159D8">
      <w:pPr>
        <w:pStyle w:val="11"/>
        <w:spacing w:before="0" w:beforeAutospacing="0" w:after="0" w:afterAutospacing="0" w:line="360" w:lineRule="auto"/>
        <w:ind w:firstLine="480" w:firstLineChars="200"/>
        <w:rPr>
          <w:rFonts w:hint="eastAsia" w:ascii="仿宋" w:hAnsi="仿宋" w:eastAsia="仿宋" w:cs="仿宋"/>
          <w:highlight w:val="none"/>
        </w:rPr>
      </w:pPr>
      <w:r>
        <w:rPr>
          <w:rFonts w:hint="eastAsia" w:ascii="仿宋_GB2312" w:eastAsia="仿宋_GB2312"/>
          <w:color w:val="000000"/>
          <w:highlight w:val="none"/>
        </w:rPr>
        <w:t>（2）</w:t>
      </w:r>
      <w:r>
        <w:rPr>
          <w:rFonts w:hint="eastAsia" w:ascii="仿宋" w:hAnsi="仿宋" w:eastAsia="仿宋" w:cs="仿宋"/>
          <w:highlight w:val="none"/>
        </w:rPr>
        <w:t>提供企业一般纳税人认定资格证明材料、13%增值税发票和</w:t>
      </w:r>
      <w:r>
        <w:rPr>
          <w:rFonts w:hint="eastAsia" w:ascii="仿宋_GB2312" w:eastAsia="仿宋_GB2312"/>
          <w:color w:val="000000"/>
          <w:highlight w:val="none"/>
        </w:rPr>
        <w:t>企业最近1年任意3个月的依法纳税缴纳证明材料和社保缴纳证明材料；</w:t>
      </w:r>
      <w:r>
        <w:rPr>
          <w:rFonts w:ascii="仿宋" w:hAnsi="仿宋" w:eastAsia="仿宋" w:cs="仿宋"/>
          <w:highlight w:val="none"/>
        </w:rPr>
        <w:t>（</w:t>
      </w:r>
      <w:r>
        <w:rPr>
          <w:rFonts w:hint="eastAsia" w:ascii="仿宋" w:hAnsi="仿宋" w:eastAsia="仿宋" w:cs="仿宋"/>
          <w:highlight w:val="none"/>
        </w:rPr>
        <w:t>依法纳税证明材料:以税务机关出具的完税证明或纳税记录，或银行出具缴税付款凭证为准；社保缴纳证明材料:以社保经办机构出具的社保缴纳证明或缴费明细，或银行出具付款凭证为准。）</w:t>
      </w:r>
    </w:p>
    <w:p w14:paraId="029BB32C">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（3）提供</w:t>
      </w:r>
      <w:r>
        <w:rPr>
          <w:rFonts w:hint="eastAsia" w:ascii="仿宋_GB2312" w:hAnsi="宋体" w:eastAsia="仿宋_GB2312"/>
          <w:color w:val="000000"/>
          <w:sz w:val="24"/>
          <w:highlight w:val="none"/>
        </w:rPr>
        <w:t>法定代表人证明书或授权委托书原件扫描件；</w:t>
      </w:r>
    </w:p>
    <w:p w14:paraId="6AB0120B">
      <w:pPr>
        <w:wordWrap w:val="0"/>
        <w:spacing w:line="360" w:lineRule="auto"/>
        <w:ind w:firstLine="480" w:firstLineChars="200"/>
        <w:rPr>
          <w:rFonts w:hint="eastAsia" w:ascii="仿宋" w:hAnsi="仿宋" w:eastAsia="仿宋" w:cs="仿宋"/>
          <w:sz w:val="24"/>
          <w:highlight w:val="none"/>
        </w:rPr>
      </w:pPr>
      <w:r>
        <w:rPr>
          <w:rFonts w:hint="eastAsia" w:ascii="仿宋_GB2312" w:hAnsi="宋体" w:eastAsia="仿宋_GB2312"/>
          <w:color w:val="000000"/>
          <w:sz w:val="24"/>
          <w:highlight w:val="none"/>
        </w:rPr>
        <w:t>备注：如果是法定代表人报名，请提供</w:t>
      </w:r>
      <w:r>
        <w:rPr>
          <w:rFonts w:hint="eastAsia" w:ascii="仿宋" w:hAnsi="仿宋" w:eastAsia="仿宋"/>
          <w:color w:val="000000"/>
          <w:sz w:val="24"/>
          <w:highlight w:val="none"/>
        </w:rPr>
        <w:t>法定代表人证明材料及身份证扫描件</w:t>
      </w:r>
      <w:r>
        <w:rPr>
          <w:rFonts w:hint="eastAsia" w:ascii="仿宋_GB2312" w:hAnsi="宋体" w:eastAsia="仿宋_GB2312"/>
          <w:color w:val="000000"/>
          <w:sz w:val="24"/>
          <w:highlight w:val="none"/>
        </w:rPr>
        <w:t>，如果是被授权委托人报名，请提供</w:t>
      </w:r>
      <w:r>
        <w:rPr>
          <w:rFonts w:hint="eastAsia" w:ascii="仿宋" w:hAnsi="仿宋" w:eastAsia="仿宋"/>
          <w:color w:val="000000"/>
          <w:sz w:val="24"/>
          <w:highlight w:val="none"/>
        </w:rPr>
        <w:t>一份法人授权委托书和身份证扫描件及被授权委托人近一年内在本单位的社保证明材料（附件1）；</w:t>
      </w:r>
    </w:p>
    <w:p w14:paraId="74740FC9">
      <w:pPr>
        <w:numPr>
          <w:ilvl w:val="0"/>
          <w:numId w:val="1"/>
        </w:num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提供C级及以上《中华人民共和国特种设备生产许可证》</w:t>
      </w:r>
      <w:r>
        <w:rPr>
          <w:rFonts w:hint="eastAsia" w:ascii="仿宋" w:hAnsi="仿宋" w:eastAsia="仿宋" w:cs="仿宋"/>
          <w:sz w:val="24"/>
          <w:highlight w:val="none"/>
          <w:lang w:val="en-US" w:eastAsia="zh-CN"/>
        </w:rPr>
        <w:t>或</w:t>
      </w:r>
      <w:r>
        <w:rPr>
          <w:rFonts w:hint="eastAsia" w:ascii="仿宋" w:hAnsi="仿宋" w:eastAsia="仿宋" w:cs="仿宋"/>
          <w:color w:val="auto"/>
          <w:sz w:val="24"/>
          <w:highlight w:val="none"/>
        </w:rPr>
        <w:t>《中华人民共和国特种设备安装改造维修许可证》</w:t>
      </w:r>
      <w:r>
        <w:rPr>
          <w:rFonts w:hint="eastAsia" w:ascii="仿宋" w:hAnsi="仿宋" w:eastAsia="仿宋" w:cs="仿宋"/>
          <w:sz w:val="24"/>
          <w:highlight w:val="none"/>
        </w:rPr>
        <w:t>的证明材料。</w:t>
      </w:r>
    </w:p>
    <w:p w14:paraId="6C33C068">
      <w:pPr>
        <w:numPr>
          <w:ilvl w:val="0"/>
          <w:numId w:val="1"/>
        </w:numPr>
        <w:wordWrap w:val="0"/>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提供</w:t>
      </w:r>
      <w:r>
        <w:rPr>
          <w:rFonts w:hint="eastAsia" w:ascii="仿宋" w:hAnsi="仿宋" w:eastAsia="仿宋" w:cs="仿宋"/>
          <w:sz w:val="24"/>
          <w:highlight w:val="none"/>
        </w:rPr>
        <w:t>2022年1月1日至今须具有2个及以上类似项目业绩</w:t>
      </w:r>
      <w:r>
        <w:rPr>
          <w:rFonts w:hint="eastAsia" w:ascii="仿宋_GB2312" w:hAnsi="宋体" w:eastAsia="仿宋_GB2312"/>
          <w:color w:val="000000"/>
          <w:sz w:val="24"/>
          <w:highlight w:val="none"/>
        </w:rPr>
        <w:t>(以合同为准)；</w:t>
      </w:r>
    </w:p>
    <w:p w14:paraId="40C310AF">
      <w:pPr>
        <w:wordWrap w:val="0"/>
        <w:spacing w:line="360" w:lineRule="auto"/>
        <w:ind w:firstLine="480" w:firstLineChars="200"/>
        <w:rPr>
          <w:rFonts w:hint="eastAsia" w:ascii="仿宋" w:hAnsi="仿宋" w:eastAsia="仿宋" w:cs="仿宋"/>
          <w:color w:val="FF0000"/>
          <w:sz w:val="24"/>
          <w:highlight w:val="none"/>
        </w:rPr>
      </w:pPr>
      <w:r>
        <w:rPr>
          <w:rFonts w:hint="eastAsia" w:ascii="仿宋_GB2312" w:hAnsi="宋体" w:eastAsia="仿宋_GB2312" w:cs="Arial"/>
          <w:sz w:val="24"/>
          <w:highlight w:val="none"/>
        </w:rPr>
        <w:t>（6）</w:t>
      </w:r>
      <w:r>
        <w:rPr>
          <w:rFonts w:hint="eastAsia" w:ascii="仿宋" w:hAnsi="仿宋" w:eastAsia="仿宋" w:cs="仿宋"/>
          <w:sz w:val="24"/>
          <w:highlight w:val="none"/>
        </w:rPr>
        <w:t>提供近3年（2022年—2024年）经过第三方专业审计机构审计的财务报告或财务报表；</w:t>
      </w:r>
    </w:p>
    <w:p w14:paraId="476EC9BC">
      <w:pPr>
        <w:wordWrap w:val="0"/>
        <w:spacing w:line="360" w:lineRule="auto"/>
        <w:ind w:firstLine="480" w:firstLineChars="200"/>
        <w:rPr>
          <w:rFonts w:hint="eastAsia" w:ascii="仿宋_GB2312" w:hAnsi="宋体" w:eastAsia="仿宋_GB2312" w:cs="Arial"/>
          <w:sz w:val="24"/>
          <w:highlight w:val="none"/>
        </w:rPr>
      </w:pPr>
      <w:bookmarkStart w:id="0" w:name="OLE_LINK8"/>
      <w:bookmarkStart w:id="1" w:name="OLE_LINK14"/>
      <w:r>
        <w:rPr>
          <w:rFonts w:hint="eastAsia" w:ascii="仿宋_GB2312" w:hAnsi="宋体" w:eastAsia="仿宋_GB2312" w:cs="Arial"/>
          <w:sz w:val="24"/>
          <w:highlight w:val="none"/>
        </w:rPr>
        <w:t>（7）提供非联合体形式参与及如中标本项目不进行分包或转包承诺书</w:t>
      </w:r>
      <w:bookmarkEnd w:id="0"/>
      <w:r>
        <w:rPr>
          <w:rFonts w:hint="eastAsia" w:ascii="仿宋_GB2312" w:hAnsi="宋体" w:eastAsia="仿宋_GB2312" w:cs="Arial"/>
          <w:sz w:val="24"/>
          <w:highlight w:val="none"/>
        </w:rPr>
        <w:t>（附件3）；</w:t>
      </w:r>
      <w:bookmarkEnd w:id="1"/>
    </w:p>
    <w:p w14:paraId="40A40778">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8</w:t>
      </w:r>
      <w:r>
        <w:rPr>
          <w:rFonts w:hint="eastAsia" w:ascii="仿宋_GB2312" w:hAnsi="宋体" w:eastAsia="仿宋_GB2312" w:cs="Arial"/>
          <w:sz w:val="24"/>
          <w:highlight w:val="none"/>
        </w:rPr>
        <w:t>）提供未列入国家企业信用信息公示系统（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_GB2312" w:hAnsi="宋体" w:eastAsia="仿宋_GB2312" w:cs="Arial"/>
          <w:sz w:val="24"/>
          <w:highlight w:val="none"/>
        </w:rPr>
        <w:t>http://www.gsxt.gov.cn/index.html）严重违法失信企业名单</w:t>
      </w:r>
      <w:r>
        <w:rPr>
          <w:rFonts w:hint="eastAsia" w:ascii="仿宋_GB2312" w:hAnsi="宋体" w:eastAsia="仿宋_GB2312" w:cs="Arial"/>
          <w:sz w:val="24"/>
          <w:highlight w:val="none"/>
        </w:rPr>
        <w:fldChar w:fldCharType="end"/>
      </w:r>
      <w:r>
        <w:rPr>
          <w:rFonts w:hint="eastAsia" w:ascii="仿宋_GB2312" w:hAnsi="宋体" w:eastAsia="仿宋_GB2312" w:cs="Arial"/>
          <w:sz w:val="24"/>
          <w:highlight w:val="none"/>
        </w:rPr>
        <w:t>的证明材料；</w:t>
      </w:r>
    </w:p>
    <w:p w14:paraId="2AFA631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9</w:t>
      </w:r>
      <w:r>
        <w:rPr>
          <w:rFonts w:hint="eastAsia" w:ascii="仿宋_GB2312" w:hAnsi="宋体" w:eastAsia="仿宋_GB2312" w:cs="Arial"/>
          <w:sz w:val="24"/>
          <w:highlight w:val="none"/>
        </w:rPr>
        <w:t xml:space="preserve">）提供保密承诺书（附件2）； </w:t>
      </w:r>
    </w:p>
    <w:p w14:paraId="4C35CA91">
      <w:pPr>
        <w:wordWrap w:val="0"/>
        <w:spacing w:line="360" w:lineRule="auto"/>
        <w:ind w:firstLine="480" w:firstLineChars="200"/>
        <w:rPr>
          <w:rFonts w:hint="eastAsia" w:ascii="仿宋_GB2312" w:hAnsi="宋体" w:eastAsia="仿宋_GB2312" w:cs="Arial"/>
          <w:sz w:val="24"/>
          <w:highlight w:val="none"/>
        </w:rPr>
      </w:pPr>
      <w:r>
        <w:rPr>
          <w:rFonts w:hint="eastAsia" w:ascii="仿宋_GB2312" w:hAnsi="宋体" w:eastAsia="仿宋_GB2312" w:cs="Arial"/>
          <w:sz w:val="24"/>
          <w:highlight w:val="none"/>
        </w:rPr>
        <w:t>（</w:t>
      </w:r>
      <w:r>
        <w:rPr>
          <w:rFonts w:hint="eastAsia" w:ascii="仿宋_GB2312" w:hAnsi="宋体" w:eastAsia="仿宋_GB2312" w:cs="Arial"/>
          <w:sz w:val="24"/>
          <w:highlight w:val="none"/>
          <w:lang w:val="en-US" w:eastAsia="zh-CN"/>
        </w:rPr>
        <w:t>10</w:t>
      </w:r>
      <w:r>
        <w:rPr>
          <w:rFonts w:hint="eastAsia" w:ascii="仿宋_GB2312" w:hAnsi="宋体" w:eastAsia="仿宋_GB2312" w:cs="Arial"/>
          <w:sz w:val="24"/>
          <w:highlight w:val="none"/>
        </w:rPr>
        <w:t>）提供关于聘用蒙牛在职人员亲属（含特定关系人）及离职人员的告知函（附件4和附件5）。</w:t>
      </w:r>
    </w:p>
    <w:p w14:paraId="62BE020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3、说明：</w:t>
      </w:r>
    </w:p>
    <w:p w14:paraId="53F04B3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wordWrap w:val="0"/>
        <w:spacing w:line="360" w:lineRule="auto"/>
        <w:ind w:firstLine="480" w:firstLineChars="200"/>
        <w:rPr>
          <w:rFonts w:hint="eastAsia" w:ascii="仿宋_GB2312" w:hAnsi="宋体" w:eastAsia="仿宋_GB2312"/>
          <w:color w:val="000000"/>
          <w:sz w:val="24"/>
          <w:highlight w:val="none"/>
        </w:rPr>
      </w:pPr>
      <w:r>
        <w:rPr>
          <w:rFonts w:hint="eastAsia" w:ascii="仿宋" w:hAnsi="仿宋" w:eastAsia="仿宋" w:cs="仿宋"/>
          <w:sz w:val="24"/>
          <w:highlight w:val="none"/>
        </w:rPr>
        <w:t>资料提供不全或者未按时间要求提报的将被拒绝接收，所提供的资质业绩文件中如有虚假情况，一经发现将被取消竞争资格。</w:t>
      </w:r>
    </w:p>
    <w:p w14:paraId="2E488A64">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投标人自购买询价单之日起，应确保其向采购人提供的通讯手段（电话、邮箱）一直有效，以保证往来函件能及时传达并及时反馈信息，否则由此引起的一切后果由投标人承担。</w:t>
      </w:r>
    </w:p>
    <w:bookmarkEnd w:id="3"/>
    <w:p w14:paraId="1D74EB08">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六、项目时间安排及要求：</w:t>
      </w:r>
    </w:p>
    <w:p w14:paraId="054C9EB1">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1、报名时间：2025年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8</w:t>
      </w:r>
      <w:r>
        <w:rPr>
          <w:rFonts w:hint="eastAsia" w:ascii="仿宋_GB2312" w:hAnsi="宋体" w:eastAsia="仿宋_GB2312"/>
          <w:sz w:val="24"/>
          <w:highlight w:val="none"/>
          <w:u w:val="none"/>
        </w:rPr>
        <w:t>日 0 时至2025年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月1</w:t>
      </w:r>
      <w:r>
        <w:rPr>
          <w:rFonts w:hint="eastAsia" w:ascii="仿宋_GB2312" w:hAnsi="宋体" w:eastAsia="仿宋_GB2312"/>
          <w:sz w:val="24"/>
          <w:highlight w:val="none"/>
          <w:u w:val="none"/>
          <w:lang w:val="en-US" w:eastAsia="zh-CN"/>
        </w:rPr>
        <w:t>3</w:t>
      </w:r>
      <w:r>
        <w:rPr>
          <w:rFonts w:hint="eastAsia" w:ascii="仿宋_GB2312" w:hAnsi="宋体" w:eastAsia="仿宋_GB2312"/>
          <w:sz w:val="24"/>
          <w:highlight w:val="none"/>
          <w:u w:val="none"/>
        </w:rPr>
        <w:t>日24时止；</w:t>
      </w:r>
    </w:p>
    <w:p w14:paraId="7F6D0990">
      <w:pPr>
        <w:wordWrap w:val="0"/>
        <w:spacing w:line="360" w:lineRule="auto"/>
        <w:ind w:firstLine="480" w:firstLineChars="200"/>
        <w:rPr>
          <w:rFonts w:hint="eastAsia" w:ascii="仿宋_GB2312" w:hAnsi="宋体" w:eastAsia="仿宋_GB2312"/>
          <w:sz w:val="24"/>
          <w:highlight w:val="none"/>
          <w:u w:val="none"/>
        </w:rPr>
      </w:pPr>
      <w:r>
        <w:rPr>
          <w:rFonts w:hint="eastAsia" w:ascii="仿宋_GB2312" w:hAnsi="宋体" w:eastAsia="仿宋_GB2312"/>
          <w:sz w:val="24"/>
          <w:highlight w:val="none"/>
          <w:u w:val="none"/>
        </w:rPr>
        <w:t>2、资格预审时间：2025年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14</w:t>
      </w:r>
      <w:r>
        <w:rPr>
          <w:rFonts w:hint="eastAsia" w:ascii="仿宋_GB2312" w:hAnsi="宋体" w:eastAsia="仿宋_GB2312"/>
          <w:sz w:val="24"/>
          <w:highlight w:val="none"/>
          <w:u w:val="none"/>
        </w:rPr>
        <w:t>日9时至2025年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月1</w:t>
      </w:r>
      <w:r>
        <w:rPr>
          <w:rFonts w:hint="eastAsia" w:ascii="仿宋_GB2312" w:hAnsi="宋体" w:eastAsia="仿宋_GB2312"/>
          <w:sz w:val="24"/>
          <w:highlight w:val="none"/>
          <w:u w:val="none"/>
          <w:lang w:val="en-US" w:eastAsia="zh-CN"/>
        </w:rPr>
        <w:t>4</w:t>
      </w:r>
      <w:r>
        <w:rPr>
          <w:rFonts w:hint="eastAsia" w:ascii="仿宋_GB2312" w:hAnsi="宋体" w:eastAsia="仿宋_GB2312"/>
          <w:sz w:val="24"/>
          <w:highlight w:val="none"/>
          <w:u w:val="none"/>
        </w:rPr>
        <w:t>日1</w:t>
      </w:r>
      <w:r>
        <w:rPr>
          <w:rFonts w:hint="eastAsia" w:ascii="仿宋_GB2312" w:hAnsi="宋体" w:eastAsia="仿宋_GB2312"/>
          <w:sz w:val="24"/>
          <w:highlight w:val="none"/>
          <w:u w:val="none"/>
          <w:lang w:val="en-US" w:eastAsia="zh-CN"/>
        </w:rPr>
        <w:t>6</w:t>
      </w:r>
      <w:r>
        <w:rPr>
          <w:rFonts w:hint="eastAsia" w:ascii="仿宋_GB2312" w:hAnsi="宋体" w:eastAsia="仿宋_GB2312"/>
          <w:sz w:val="24"/>
          <w:highlight w:val="none"/>
          <w:u w:val="none"/>
        </w:rPr>
        <w:t>时止；</w:t>
      </w:r>
    </w:p>
    <w:p w14:paraId="4A604F1D">
      <w:pPr>
        <w:wordWrap w:val="0"/>
        <w:spacing w:line="360" w:lineRule="auto"/>
        <w:ind w:firstLine="480" w:firstLineChars="200"/>
        <w:rPr>
          <w:rFonts w:hint="eastAsia" w:ascii="仿宋_GB2312" w:hAnsi="宋体" w:eastAsia="仿宋_GB2312"/>
          <w:color w:val="000000"/>
          <w:sz w:val="24"/>
          <w:highlight w:val="none"/>
          <w:u w:val="none"/>
        </w:rPr>
      </w:pPr>
      <w:r>
        <w:rPr>
          <w:rFonts w:hint="eastAsia" w:ascii="仿宋_GB2312" w:hAnsi="宋体" w:eastAsia="仿宋_GB2312"/>
          <w:sz w:val="24"/>
          <w:highlight w:val="none"/>
          <w:u w:val="none"/>
        </w:rPr>
        <w:t>3、招标文件/谈判文件/询比价单发售时间：2025年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月1</w:t>
      </w:r>
      <w:r>
        <w:rPr>
          <w:rFonts w:hint="eastAsia" w:ascii="仿宋_GB2312" w:hAnsi="宋体" w:eastAsia="仿宋_GB2312"/>
          <w:sz w:val="24"/>
          <w:highlight w:val="none"/>
          <w:u w:val="none"/>
          <w:lang w:val="en-US" w:eastAsia="zh-CN"/>
        </w:rPr>
        <w:t>5</w:t>
      </w:r>
      <w:r>
        <w:rPr>
          <w:rFonts w:hint="eastAsia" w:ascii="仿宋_GB2312" w:hAnsi="宋体" w:eastAsia="仿宋_GB2312"/>
          <w:sz w:val="24"/>
          <w:highlight w:val="none"/>
          <w:u w:val="none"/>
        </w:rPr>
        <w:t>日</w:t>
      </w:r>
      <w:r>
        <w:rPr>
          <w:rFonts w:hint="eastAsia" w:ascii="仿宋_GB2312" w:hAnsi="宋体" w:eastAsia="仿宋_GB2312"/>
          <w:sz w:val="24"/>
          <w:highlight w:val="none"/>
          <w:u w:val="none"/>
          <w:lang w:val="en-US" w:eastAsia="zh-CN"/>
        </w:rPr>
        <w:t>0</w:t>
      </w:r>
      <w:r>
        <w:rPr>
          <w:rFonts w:hint="eastAsia" w:ascii="仿宋_GB2312" w:hAnsi="宋体" w:eastAsia="仿宋_GB2312"/>
          <w:sz w:val="24"/>
          <w:highlight w:val="none"/>
          <w:u w:val="none"/>
        </w:rPr>
        <w:t>时至2025年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17</w:t>
      </w:r>
      <w:r>
        <w:rPr>
          <w:rFonts w:hint="eastAsia" w:ascii="仿宋_GB2312" w:hAnsi="宋体" w:eastAsia="仿宋_GB2312"/>
          <w:sz w:val="24"/>
          <w:highlight w:val="none"/>
          <w:u w:val="none"/>
        </w:rPr>
        <w:t>日24时止。</w:t>
      </w:r>
    </w:p>
    <w:p w14:paraId="4E14ECCE">
      <w:pPr>
        <w:wordWrap w:val="0"/>
        <w:spacing w:line="360" w:lineRule="auto"/>
        <w:ind w:firstLine="480" w:firstLineChars="200"/>
        <w:rPr>
          <w:rFonts w:hint="eastAsia" w:ascii="仿宋_GB2312" w:hAnsi="宋体" w:eastAsia="仿宋_GB2312"/>
          <w:color w:val="FF0000"/>
          <w:sz w:val="24"/>
          <w:highlight w:val="none"/>
          <w:u w:val="none"/>
          <w:lang w:val="en-US" w:eastAsia="zh-CN"/>
        </w:rPr>
      </w:pPr>
      <w:r>
        <w:rPr>
          <w:rFonts w:hint="eastAsia" w:ascii="仿宋_GB2312" w:hAnsi="宋体" w:eastAsia="仿宋_GB2312"/>
          <w:sz w:val="24"/>
          <w:highlight w:val="none"/>
          <w:u w:val="none"/>
        </w:rPr>
        <w:t>4、开标/谈判/比价时间：2025年</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月2</w:t>
      </w:r>
      <w:r>
        <w:rPr>
          <w:rFonts w:hint="eastAsia" w:ascii="仿宋_GB2312" w:hAnsi="宋体" w:eastAsia="仿宋_GB2312"/>
          <w:sz w:val="24"/>
          <w:highlight w:val="none"/>
          <w:u w:val="none"/>
          <w:lang w:val="en-US" w:eastAsia="zh-CN"/>
        </w:rPr>
        <w:t>2</w:t>
      </w:r>
      <w:r>
        <w:rPr>
          <w:rFonts w:hint="eastAsia" w:ascii="仿宋_GB2312" w:hAnsi="宋体" w:eastAsia="仿宋_GB2312"/>
          <w:sz w:val="24"/>
          <w:highlight w:val="none"/>
          <w:u w:val="none"/>
        </w:rPr>
        <w:t>日9时30分；（以发出的招标文件/谈判文件/询价单为准）</w:t>
      </w:r>
    </w:p>
    <w:p w14:paraId="41EEFA5B">
      <w:pPr>
        <w:wordWrap w:val="0"/>
        <w:spacing w:line="360" w:lineRule="auto"/>
        <w:ind w:firstLine="482" w:firstLineChars="200"/>
        <w:rPr>
          <w:rFonts w:hint="eastAsia" w:ascii="仿宋_GB2312" w:hAnsi="宋体" w:eastAsia="仿宋_GB2312"/>
          <w:b/>
          <w:sz w:val="24"/>
          <w:highlight w:val="none"/>
          <w:u w:val="single"/>
        </w:rPr>
      </w:pPr>
      <w:r>
        <w:rPr>
          <w:rFonts w:hint="eastAsia" w:ascii="仿宋_GB2312" w:hAnsi="宋体" w:eastAsia="仿宋_GB2312"/>
          <w:b/>
          <w:sz w:val="24"/>
          <w:highlight w:val="none"/>
        </w:rPr>
        <w:t>七、开标/谈判/比价地点：</w:t>
      </w:r>
      <w:r>
        <w:rPr>
          <w:rFonts w:hint="eastAsia" w:ascii="仿宋_GB2312" w:hAnsi="宋体" w:eastAsia="仿宋_GB2312"/>
          <w:bCs/>
          <w:sz w:val="24"/>
          <w:highlight w:val="none"/>
        </w:rPr>
        <w:t>蒙牛集团电子采购招标平台</w:t>
      </w:r>
      <w:r>
        <w:rPr>
          <w:rFonts w:hint="eastAsia" w:ascii="仿宋" w:hAnsi="仿宋" w:eastAsia="仿宋" w:cs="仿宋"/>
          <w:bCs/>
          <w:sz w:val="24"/>
          <w:highlight w:val="none"/>
        </w:rPr>
        <w:t>（https://zbcg.mengniu.cn/）</w:t>
      </w:r>
    </w:p>
    <w:p w14:paraId="6ED6D927">
      <w:pPr>
        <w:shd w:val="clear" w:color="auto" w:fill="FFFFFF"/>
        <w:wordWrap w:val="0"/>
        <w:snapToGrid w:val="0"/>
        <w:spacing w:line="360" w:lineRule="auto"/>
        <w:ind w:firstLine="482" w:firstLineChars="200"/>
        <w:rPr>
          <w:rFonts w:hint="eastAsia" w:ascii="仿宋_GB2312" w:hAnsi="宋体" w:eastAsia="仿宋_GB2312"/>
          <w:b/>
          <w:color w:val="FF0000"/>
          <w:sz w:val="24"/>
          <w:highlight w:val="none"/>
        </w:rPr>
      </w:pPr>
      <w:r>
        <w:rPr>
          <w:rFonts w:hint="eastAsia" w:ascii="仿宋_GB2312" w:hAnsi="宋体" w:eastAsia="仿宋_GB2312"/>
          <w:b/>
          <w:color w:val="000000"/>
          <w:sz w:val="24"/>
          <w:highlight w:val="none"/>
        </w:rPr>
        <w:t>八、发布媒体：</w:t>
      </w:r>
    </w:p>
    <w:p w14:paraId="1E42E4A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蒙牛内部OA平台</w:t>
      </w:r>
    </w:p>
    <w:p w14:paraId="495EFA68">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蒙牛官网（http://www.mengniu.com.cn）</w:t>
      </w:r>
    </w:p>
    <w:p w14:paraId="774AFD89">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4"/>
          <w:highlight w:val="none"/>
        </w:rPr>
        <w:t>https://zbcg.mengniu.cn/#/home</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71D4DB41">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4"/>
          <w:highlight w:val="none"/>
        </w:rPr>
        <w:t>https://www.chinabidding.cn/</w:t>
      </w:r>
      <w:r>
        <w:rPr>
          <w:rFonts w:hint="eastAsia" w:ascii="仿宋" w:hAnsi="仿宋" w:eastAsia="仿宋" w:cs="仿宋"/>
          <w:sz w:val="24"/>
          <w:highlight w:val="none"/>
        </w:rPr>
        <w:fldChar w:fldCharType="end"/>
      </w:r>
      <w:r>
        <w:rPr>
          <w:rFonts w:hint="eastAsia" w:ascii="仿宋" w:hAnsi="仿宋" w:eastAsia="仿宋" w:cs="仿宋"/>
          <w:sz w:val="24"/>
          <w:highlight w:val="none"/>
        </w:rPr>
        <w:t>）</w:t>
      </w:r>
    </w:p>
    <w:p w14:paraId="5C147090">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中国招标投标公共服务平台（http://www.cebpubservice.com/）</w:t>
      </w:r>
    </w:p>
    <w:p w14:paraId="2A2A729D">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此公告只在以上平台发布，其他任何媒体转载无效</w:t>
      </w:r>
    </w:p>
    <w:p w14:paraId="790AEC01">
      <w:pPr>
        <w:wordWrap w:val="0"/>
        <w:spacing w:line="360" w:lineRule="auto"/>
        <w:ind w:firstLine="482" w:firstLineChars="200"/>
        <w:rPr>
          <w:rFonts w:hint="eastAsia" w:ascii="仿宋_GB2312" w:hAnsi="宋体" w:eastAsia="仿宋_GB2312"/>
          <w:b/>
          <w:sz w:val="24"/>
          <w:highlight w:val="none"/>
        </w:rPr>
      </w:pPr>
      <w:r>
        <w:rPr>
          <w:rFonts w:hint="eastAsia" w:ascii="仿宋_GB2312" w:hAnsi="宋体" w:eastAsia="仿宋_GB2312"/>
          <w:b/>
          <w:sz w:val="24"/>
          <w:highlight w:val="none"/>
        </w:rPr>
        <w:t>九、采购招标实施方及联系方式：</w:t>
      </w:r>
    </w:p>
    <w:p w14:paraId="330CDEAC">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采购人：内蒙古蒙牛乳业（集团）股份有限公司</w:t>
      </w:r>
    </w:p>
    <w:p w14:paraId="0FC72D27">
      <w:pPr>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业务咨询联系人：</w:t>
      </w:r>
      <w:r>
        <w:rPr>
          <w:rFonts w:hint="eastAsia" w:ascii="仿宋" w:hAnsi="仿宋" w:eastAsia="仿宋" w:cs="仿宋"/>
          <w:sz w:val="24"/>
          <w:highlight w:val="none"/>
          <w:lang w:val="en-US" w:eastAsia="zh-CN"/>
        </w:rPr>
        <w:t>胡瑞</w:t>
      </w:r>
      <w:r>
        <w:rPr>
          <w:rFonts w:hint="eastAsia" w:ascii="仿宋" w:hAnsi="仿宋" w:eastAsia="仿宋" w:cs="仿宋"/>
          <w:sz w:val="24"/>
          <w:highlight w:val="none"/>
        </w:rPr>
        <w:t xml:space="preserve">           </w:t>
      </w:r>
    </w:p>
    <w:p w14:paraId="5A422F17">
      <w:pPr>
        <w:wordWrap w:val="0"/>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15540727677</w:t>
      </w:r>
    </w:p>
    <w:p w14:paraId="0726EF7D">
      <w:pPr>
        <w:wordWrap w:val="0"/>
        <w:spacing w:line="360" w:lineRule="auto"/>
        <w:ind w:firstLine="482" w:firstLineChars="200"/>
        <w:rPr>
          <w:rFonts w:hint="eastAsia" w:ascii="仿宋" w:hAnsi="仿宋" w:eastAsia="仿宋"/>
          <w:b/>
          <w:sz w:val="24"/>
          <w:highlight w:val="none"/>
        </w:rPr>
      </w:pPr>
      <w:r>
        <w:rPr>
          <w:rFonts w:hint="eastAsia" w:ascii="仿宋_GB2312" w:hAnsi="宋体" w:eastAsia="仿宋_GB2312"/>
          <w:b/>
          <w:sz w:val="24"/>
          <w:highlight w:val="none"/>
        </w:rPr>
        <w:t>十、监督单位及联系方式：</w:t>
      </w:r>
    </w:p>
    <w:p w14:paraId="25A11175">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1、采购招标项目违规问题的投诉受理单位：蒙牛乳业采购招标管理部</w:t>
      </w:r>
    </w:p>
    <w:p w14:paraId="2D9232A9">
      <w:pPr>
        <w:wordWrap w:val="0"/>
        <w:spacing w:line="360" w:lineRule="auto"/>
        <w:ind w:firstLine="480" w:firstLineChars="200"/>
        <w:rPr>
          <w:rFonts w:hint="eastAsia" w:ascii="仿宋" w:hAnsi="仿宋" w:eastAsia="仿宋"/>
          <w:color w:val="BFBFBF" w:themeColor="background1" w:themeShade="BF"/>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薛海燕</w:t>
      </w:r>
    </w:p>
    <w:p w14:paraId="209AA7F9">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7393642/</w:t>
      </w:r>
      <w:r>
        <w:rPr>
          <w:rFonts w:hint="eastAsia" w:ascii="仿宋" w:hAnsi="仿宋" w:eastAsia="仿宋"/>
          <w:sz w:val="24"/>
          <w:highlight w:val="none"/>
        </w:rPr>
        <w:t>15034952008</w:t>
      </w:r>
    </w:p>
    <w:p w14:paraId="10E5FB91">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电子邮件：xuehaiyan@mengniu.cn</w:t>
      </w:r>
    </w:p>
    <w:p w14:paraId="301C9373">
      <w:pPr>
        <w:wordWrap w:val="0"/>
        <w:spacing w:line="360" w:lineRule="auto"/>
        <w:ind w:firstLine="480" w:firstLineChars="200"/>
        <w:rPr>
          <w:rStyle w:val="17"/>
          <w:rFonts w:hint="eastAsia" w:ascii="微软雅黑" w:hAnsi="微软雅黑" w:eastAsia="微软雅黑"/>
          <w:color w:val="auto"/>
          <w:sz w:val="24"/>
          <w:highlight w:val="none"/>
          <w:shd w:val="clear" w:color="auto" w:fill="FFFFFF"/>
        </w:rPr>
      </w:pPr>
      <w:r>
        <w:rPr>
          <w:rFonts w:hint="eastAsia" w:ascii="仿宋" w:hAnsi="仿宋" w:eastAsia="仿宋"/>
          <w:sz w:val="24"/>
          <w:highlight w:val="none"/>
        </w:rPr>
        <w:t>异议/投诉服务网址：</w:t>
      </w:r>
      <w:r>
        <w:rPr>
          <w:b w:val="0"/>
          <w:bCs w:val="0"/>
          <w:highlight w:val="none"/>
        </w:rPr>
        <w:fldChar w:fldCharType="begin"/>
      </w:r>
      <w:r>
        <w:rPr>
          <w:b w:val="0"/>
          <w:bCs w:val="0"/>
          <w:highlight w:val="none"/>
        </w:rPr>
        <w:instrText xml:space="preserve"> HYPERLINK "https://zbcg.mengniu.cn/" \l "/home" \t "_blank" </w:instrText>
      </w:r>
      <w:r>
        <w:rPr>
          <w:b w:val="0"/>
          <w:bCs w:val="0"/>
          <w:highlight w:val="none"/>
        </w:rPr>
        <w:fldChar w:fldCharType="separate"/>
      </w:r>
      <w:r>
        <w:rPr>
          <w:rStyle w:val="17"/>
          <w:rFonts w:hint="eastAsia" w:ascii="微软雅黑" w:hAnsi="微软雅黑" w:eastAsia="微软雅黑"/>
          <w:b w:val="0"/>
          <w:bCs w:val="0"/>
          <w:color w:val="auto"/>
          <w:sz w:val="24"/>
          <w:highlight w:val="none"/>
          <w:shd w:val="clear" w:color="auto" w:fill="FFFFFF"/>
        </w:rPr>
        <w:t>https://zbcg.mengniu.cn/#/home</w:t>
      </w:r>
      <w:r>
        <w:rPr>
          <w:rStyle w:val="17"/>
          <w:rFonts w:hint="eastAsia" w:ascii="微软雅黑" w:hAnsi="微软雅黑" w:eastAsia="微软雅黑"/>
          <w:b w:val="0"/>
          <w:bCs w:val="0"/>
          <w:color w:val="auto"/>
          <w:sz w:val="24"/>
          <w:highlight w:val="none"/>
          <w:shd w:val="clear" w:color="auto" w:fill="FFFFFF"/>
        </w:rPr>
        <w:fldChar w:fldCharType="end"/>
      </w:r>
    </w:p>
    <w:p w14:paraId="68508A39">
      <w:pPr>
        <w:wordWrap w:val="0"/>
        <w:spacing w:line="360" w:lineRule="auto"/>
        <w:ind w:firstLine="480" w:firstLineChars="200"/>
        <w:rPr>
          <w:rFonts w:hint="eastAsia"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、采购招标项目的违纪问题举报受理单位：蒙牛乳业纪委办公室</w:t>
      </w:r>
    </w:p>
    <w:p w14:paraId="2CD6320A">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监 督 人:</w:t>
      </w:r>
      <w:r>
        <w:rPr>
          <w:rFonts w:ascii="仿宋" w:hAnsi="仿宋" w:eastAsia="仿宋"/>
          <w:sz w:val="24"/>
          <w:highlight w:val="none"/>
        </w:rPr>
        <w:t xml:space="preserve"> </w:t>
      </w:r>
      <w:r>
        <w:rPr>
          <w:rFonts w:hint="eastAsia" w:ascii="仿宋" w:hAnsi="仿宋" w:eastAsia="仿宋"/>
          <w:sz w:val="24"/>
          <w:highlight w:val="none"/>
        </w:rPr>
        <w:t>张丽娜</w:t>
      </w:r>
    </w:p>
    <w:p w14:paraId="2057A8C7">
      <w:pPr>
        <w:wordWrap w:val="0"/>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联系电话：</w:t>
      </w:r>
      <w:r>
        <w:rPr>
          <w:rFonts w:ascii="仿宋" w:hAnsi="仿宋" w:eastAsia="仿宋"/>
          <w:sz w:val="24"/>
          <w:highlight w:val="none"/>
        </w:rPr>
        <w:t>0471</w:t>
      </w:r>
      <w:r>
        <w:rPr>
          <w:rFonts w:hint="eastAsia" w:ascii="仿宋" w:hAnsi="仿宋" w:eastAsia="仿宋"/>
          <w:sz w:val="24"/>
          <w:highlight w:val="none"/>
        </w:rPr>
        <w:t>-</w:t>
      </w:r>
      <w:r>
        <w:rPr>
          <w:rFonts w:ascii="仿宋" w:hAnsi="仿宋" w:eastAsia="仿宋"/>
          <w:sz w:val="24"/>
          <w:highlight w:val="none"/>
        </w:rPr>
        <w:t>7393612</w:t>
      </w:r>
    </w:p>
    <w:p w14:paraId="2191E9A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sz w:val="24"/>
          <w:highlight w:val="none"/>
        </w:rPr>
        <w:t>受理范围：采购招标</w:t>
      </w:r>
      <w:bookmarkStart w:id="2" w:name="OLE_LINK1"/>
      <w:r>
        <w:rPr>
          <w:rFonts w:hint="eastAsia" w:ascii="仿宋" w:hAnsi="仿宋" w:eastAsia="仿宋"/>
          <w:sz w:val="24"/>
          <w:highlight w:val="none"/>
        </w:rPr>
        <w:t>执行过程中涉嫌</w:t>
      </w:r>
      <w:bookmarkEnd w:id="2"/>
      <w:r>
        <w:rPr>
          <w:rFonts w:hint="eastAsia" w:ascii="仿宋" w:hAnsi="仿宋" w:eastAsia="仿宋"/>
          <w:sz w:val="24"/>
          <w:highlight w:val="none"/>
        </w:rPr>
        <w:t>贪污贿赂、滥用职权、玩忽职守、权力寻租、利益输送、徇私舞弊以及浪费公司资财等违纪问题的各类举报。</w:t>
      </w:r>
    </w:p>
    <w:p w14:paraId="5198A954">
      <w:pPr>
        <w:pStyle w:val="2"/>
        <w:wordWrap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附件：1.法定代表人身份证明、法定代表人授权委托书</w:t>
      </w:r>
    </w:p>
    <w:p w14:paraId="3BDEA3C6">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2.保密承诺书</w:t>
      </w:r>
    </w:p>
    <w:p w14:paraId="6D865467">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3.非联合体竞谈，不分包或转包声明</w:t>
      </w:r>
    </w:p>
    <w:p w14:paraId="53964B3A">
      <w:pPr>
        <w:pStyle w:val="2"/>
        <w:wordWrap w:val="0"/>
        <w:spacing w:line="360" w:lineRule="auto"/>
        <w:ind w:firstLine="1200" w:firstLineChars="500"/>
        <w:rPr>
          <w:rFonts w:hint="eastAsia" w:ascii="仿宋" w:hAnsi="仿宋" w:eastAsia="仿宋" w:cs="仿宋"/>
          <w:sz w:val="24"/>
          <w:highlight w:val="none"/>
        </w:rPr>
      </w:pPr>
      <w:r>
        <w:rPr>
          <w:rFonts w:hint="eastAsia" w:ascii="仿宋" w:hAnsi="仿宋" w:eastAsia="仿宋" w:cs="仿宋"/>
          <w:sz w:val="24"/>
          <w:highlight w:val="none"/>
        </w:rPr>
        <w:t>4</w:t>
      </w:r>
      <w:r>
        <w:rPr>
          <w:rFonts w:ascii="仿宋" w:hAnsi="仿宋" w:eastAsia="仿宋" w:cs="仿宋"/>
          <w:sz w:val="24"/>
          <w:highlight w:val="none"/>
        </w:rPr>
        <w:t>.告知函</w:t>
      </w:r>
    </w:p>
    <w:p w14:paraId="5A62408C">
      <w:pPr>
        <w:pStyle w:val="2"/>
        <w:wordWrap w:val="0"/>
        <w:spacing w:line="360" w:lineRule="auto"/>
        <w:ind w:firstLine="1200" w:firstLineChars="500"/>
        <w:rPr>
          <w:rFonts w:hint="eastAsia" w:ascii="仿宋" w:hAnsi="仿宋" w:eastAsia="仿宋" w:cs="仿宋"/>
          <w:sz w:val="24"/>
          <w:highlight w:val="none"/>
        </w:rPr>
      </w:pPr>
      <w:r>
        <w:rPr>
          <w:rFonts w:ascii="仿宋" w:hAnsi="仿宋" w:eastAsia="仿宋" w:cs="仿宋"/>
          <w:sz w:val="24"/>
          <w:highlight w:val="none"/>
        </w:rPr>
        <w:t>5.阳光协议</w:t>
      </w:r>
      <w:r>
        <w:rPr>
          <w:rFonts w:hint="eastAsia" w:ascii="仿宋" w:hAnsi="仿宋" w:eastAsia="仿宋" w:cs="仿宋"/>
          <w:sz w:val="24"/>
          <w:highlight w:val="none"/>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   购   人：内蒙古蒙牛乳业（集团）股份有限公司</w:t>
      </w:r>
    </w:p>
    <w:p w14:paraId="1415CD36">
      <w:pPr>
        <w:wordWrap w:val="0"/>
        <w:adjustRightInd w:val="0"/>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2025年</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日</w:t>
      </w:r>
    </w:p>
    <w:p w14:paraId="199C5515">
      <w:pPr>
        <w:wordWrap w:val="0"/>
        <w:spacing w:line="360" w:lineRule="auto"/>
        <w:ind w:firstLine="480" w:firstLineChars="200"/>
        <w:rPr>
          <w:rFonts w:hint="eastAsia" w:ascii="仿宋" w:hAnsi="仿宋" w:eastAsia="仿宋" w:cs="仿宋"/>
          <w:sz w:val="24"/>
          <w:highlight w:val="none"/>
        </w:rPr>
      </w:pPr>
    </w:p>
    <w:p w14:paraId="3B2BCB7E">
      <w:pPr>
        <w:wordWrap w:val="0"/>
        <w:spacing w:line="360" w:lineRule="auto"/>
        <w:ind w:firstLine="480" w:firstLineChars="200"/>
        <w:rPr>
          <w:rFonts w:hint="eastAsia" w:ascii="仿宋" w:hAnsi="仿宋" w:eastAsia="仿宋" w:cs="仿宋"/>
          <w:sz w:val="24"/>
          <w:highlight w:val="none"/>
        </w:rPr>
      </w:pPr>
    </w:p>
    <w:p w14:paraId="75158516">
      <w:pPr>
        <w:wordWrap w:val="0"/>
        <w:spacing w:line="360" w:lineRule="auto"/>
        <w:ind w:firstLine="480" w:firstLineChars="200"/>
        <w:rPr>
          <w:rFonts w:hint="eastAsia" w:ascii="仿宋" w:hAnsi="仿宋" w:eastAsia="仿宋" w:cs="仿宋"/>
          <w:sz w:val="24"/>
          <w:highlight w:val="none"/>
        </w:rPr>
      </w:pPr>
    </w:p>
    <w:p w14:paraId="2859AE65">
      <w:pPr>
        <w:wordWrap w:val="0"/>
        <w:spacing w:line="360" w:lineRule="auto"/>
        <w:ind w:firstLine="480" w:firstLineChars="200"/>
        <w:rPr>
          <w:rFonts w:hint="eastAsia" w:ascii="仿宋" w:hAnsi="仿宋" w:eastAsia="仿宋" w:cs="仿宋"/>
          <w:sz w:val="24"/>
          <w:highlight w:val="none"/>
        </w:rPr>
      </w:pPr>
    </w:p>
    <w:p w14:paraId="5924B27B">
      <w:pPr>
        <w:wordWrap w:val="0"/>
        <w:spacing w:line="360" w:lineRule="auto"/>
        <w:ind w:firstLine="480" w:firstLineChars="200"/>
        <w:rPr>
          <w:rFonts w:hint="eastAsia" w:ascii="仿宋" w:hAnsi="仿宋" w:eastAsia="仿宋" w:cs="仿宋"/>
          <w:sz w:val="24"/>
          <w:highlight w:val="none"/>
        </w:rPr>
      </w:pPr>
    </w:p>
    <w:p w14:paraId="4F2F1933">
      <w:pPr>
        <w:wordWrap w:val="0"/>
        <w:spacing w:line="360" w:lineRule="auto"/>
        <w:ind w:firstLine="480" w:firstLineChars="200"/>
        <w:rPr>
          <w:rFonts w:hint="eastAsia" w:ascii="仿宋" w:hAnsi="仿宋" w:eastAsia="仿宋" w:cs="仿宋"/>
          <w:sz w:val="24"/>
          <w:highlight w:val="none"/>
        </w:rPr>
      </w:pPr>
    </w:p>
    <w:p w14:paraId="27751B94">
      <w:pPr>
        <w:wordWrap w:val="0"/>
        <w:spacing w:line="360" w:lineRule="auto"/>
        <w:ind w:firstLine="480" w:firstLineChars="200"/>
        <w:rPr>
          <w:rFonts w:hint="eastAsia" w:ascii="仿宋" w:hAnsi="仿宋" w:eastAsia="仿宋" w:cs="仿宋"/>
          <w:sz w:val="24"/>
          <w:highlight w:val="none"/>
        </w:rPr>
      </w:pPr>
    </w:p>
    <w:p w14:paraId="3AE238C9">
      <w:pPr>
        <w:wordWrap w:val="0"/>
        <w:spacing w:line="360" w:lineRule="auto"/>
        <w:ind w:firstLine="480" w:firstLineChars="200"/>
        <w:rPr>
          <w:rFonts w:hint="eastAsia" w:ascii="仿宋" w:hAnsi="仿宋" w:eastAsia="仿宋" w:cs="仿宋"/>
          <w:sz w:val="24"/>
          <w:highlight w:val="none"/>
        </w:rPr>
      </w:pPr>
    </w:p>
    <w:p w14:paraId="13A2D807">
      <w:pPr>
        <w:wordWrap w:val="0"/>
        <w:adjustRightInd w:val="0"/>
        <w:snapToGrid w:val="0"/>
        <w:spacing w:line="360" w:lineRule="auto"/>
        <w:rPr>
          <w:rFonts w:hint="eastAsia" w:ascii="仿宋" w:hAnsi="仿宋" w:eastAsia="仿宋" w:cs="仿宋"/>
          <w:sz w:val="24"/>
          <w:highlight w:val="none"/>
        </w:rPr>
      </w:pPr>
    </w:p>
    <w:p w14:paraId="222B9027">
      <w:pPr>
        <w:wordWrap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附件1：</w:t>
      </w:r>
    </w:p>
    <w:p w14:paraId="32C3BAEB">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wordWrap w:val="0"/>
        <w:spacing w:line="360" w:lineRule="auto"/>
        <w:ind w:firstLine="482" w:firstLineChars="200"/>
        <w:rPr>
          <w:rFonts w:hint="eastAsia" w:ascii="仿宋" w:hAnsi="仿宋" w:eastAsia="仿宋" w:cs="仿宋"/>
          <w:b/>
          <w:sz w:val="24"/>
          <w:highlight w:val="none"/>
        </w:rPr>
      </w:pPr>
    </w:p>
    <w:p w14:paraId="68C3DAF8">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p>
    <w:p w14:paraId="3D5F7B1C">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企业类型：</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（同营业执照）</w:t>
      </w:r>
    </w:p>
    <w:p w14:paraId="70463F7B">
      <w:pPr>
        <w:wordWrap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single"/>
        </w:rPr>
        <w:t xml:space="preserve">                                   </w:t>
      </w:r>
    </w:p>
    <w:p w14:paraId="6373E36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BA1D54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6D0F0F8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B6BEB88">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系 </w:t>
      </w:r>
      <w:r>
        <w:rPr>
          <w:rFonts w:hint="eastAsia" w:ascii="仿宋" w:hAnsi="仿宋" w:eastAsia="仿宋" w:cs="仿宋"/>
          <w:sz w:val="24"/>
          <w:highlight w:val="none"/>
          <w:u w:val="single"/>
        </w:rPr>
        <w:t xml:space="preserve">               </w:t>
      </w:r>
      <w:r>
        <w:rPr>
          <w:rFonts w:hint="eastAsia" w:ascii="仿宋" w:hAnsi="仿宋" w:eastAsia="仿宋" w:cs="仿宋"/>
          <w:color w:val="FF0000"/>
          <w:sz w:val="24"/>
          <w:highlight w:val="none"/>
          <w:u w:val="single"/>
        </w:rPr>
        <w:t>（投标人全称）</w:t>
      </w:r>
      <w:r>
        <w:rPr>
          <w:rFonts w:hint="eastAsia" w:ascii="仿宋" w:hAnsi="仿宋" w:eastAsia="仿宋" w:cs="仿宋"/>
          <w:sz w:val="24"/>
          <w:highlight w:val="none"/>
        </w:rPr>
        <w:t>的法定代表人。</w:t>
      </w:r>
    </w:p>
    <w:p w14:paraId="39E9B84C">
      <w:pPr>
        <w:wordWrap w:val="0"/>
        <w:spacing w:line="360" w:lineRule="auto"/>
        <w:ind w:firstLine="480" w:firstLineChars="200"/>
        <w:rPr>
          <w:rFonts w:hint="eastAsia" w:ascii="仿宋" w:hAnsi="仿宋" w:eastAsia="仿宋" w:cs="仿宋"/>
          <w:sz w:val="24"/>
          <w:highlight w:val="none"/>
        </w:rPr>
      </w:pPr>
    </w:p>
    <w:p w14:paraId="62AB139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7F91504">
      <w:pPr>
        <w:wordWrap w:val="0"/>
        <w:spacing w:line="360" w:lineRule="auto"/>
        <w:ind w:firstLine="480" w:firstLineChars="200"/>
        <w:rPr>
          <w:rFonts w:hint="eastAsia" w:ascii="仿宋" w:hAnsi="仿宋" w:eastAsia="仿宋" w:cs="仿宋"/>
          <w:sz w:val="24"/>
          <w:highlight w:val="none"/>
        </w:rPr>
      </w:pPr>
    </w:p>
    <w:p w14:paraId="1E765C72">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63DDF791">
      <w:pPr>
        <w:wordWrap w:val="0"/>
        <w:spacing w:line="360" w:lineRule="auto"/>
        <w:ind w:firstLine="480" w:firstLineChars="200"/>
        <w:rPr>
          <w:rFonts w:hint="eastAsia" w:ascii="仿宋" w:hAnsi="仿宋" w:eastAsia="仿宋" w:cs="仿宋"/>
          <w:sz w:val="24"/>
          <w:highlight w:val="none"/>
        </w:rPr>
      </w:pPr>
    </w:p>
    <w:p w14:paraId="1B3C1199">
      <w:pPr>
        <w:wordWrap w:val="0"/>
        <w:spacing w:line="360" w:lineRule="auto"/>
        <w:ind w:firstLine="1680" w:firstLineChars="700"/>
        <w:jc w:val="right"/>
        <w:rPr>
          <w:rFonts w:hint="eastAsia" w:ascii="仿宋" w:hAnsi="仿宋" w:eastAsia="仿宋" w:cs="仿宋"/>
          <w:sz w:val="24"/>
          <w:highlight w:val="none"/>
        </w:rPr>
      </w:pP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208E6CD">
      <w:pPr>
        <w:wordWrap w:val="0"/>
        <w:spacing w:line="360" w:lineRule="auto"/>
        <w:ind w:firstLine="482" w:firstLineChars="200"/>
        <w:rPr>
          <w:rFonts w:hint="eastAsia" w:ascii="仿宋" w:hAnsi="仿宋" w:eastAsia="仿宋" w:cs="仿宋"/>
          <w:b/>
          <w:kern w:val="0"/>
          <w:sz w:val="24"/>
          <w:highlight w:val="none"/>
        </w:rPr>
      </w:pPr>
    </w:p>
    <w:tbl>
      <w:tblPr>
        <w:tblStyle w:val="13"/>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wordWrap w:val="0"/>
              <w:spacing w:line="360" w:lineRule="auto"/>
              <w:jc w:val="center"/>
              <w:rPr>
                <w:rFonts w:hint="eastAsia" w:ascii="仿宋" w:hAnsi="仿宋" w:eastAsia="仿宋" w:cs="仿宋"/>
                <w:b/>
                <w:kern w:val="0"/>
                <w:sz w:val="24"/>
                <w:highlight w:val="none"/>
              </w:rPr>
            </w:pPr>
            <w:r>
              <w:rPr>
                <w:rFonts w:hint="eastAsia" w:ascii="仿宋" w:hAnsi="仿宋" w:eastAsia="仿宋" w:cs="仿宋"/>
                <w:kern w:val="0"/>
                <w:sz w:val="24"/>
                <w:highlight w:val="none"/>
              </w:rPr>
              <w:t>法人身份证正面</w:t>
            </w:r>
          </w:p>
        </w:tc>
        <w:tc>
          <w:tcPr>
            <w:tcW w:w="4920" w:type="dxa"/>
            <w:shd w:val="clear" w:color="auto" w:fill="auto"/>
          </w:tcPr>
          <w:p w14:paraId="1A930998">
            <w:pPr>
              <w:wordWrap w:val="0"/>
              <w:spacing w:line="360"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wordWrap w:val="0"/>
              <w:spacing w:line="360" w:lineRule="auto"/>
              <w:ind w:firstLine="482" w:firstLineChars="200"/>
              <w:rPr>
                <w:rFonts w:hint="eastAsia" w:ascii="仿宋" w:hAnsi="仿宋" w:eastAsia="仿宋" w:cs="仿宋"/>
                <w:b/>
                <w:kern w:val="0"/>
                <w:sz w:val="24"/>
                <w:highlight w:val="none"/>
              </w:rPr>
            </w:pPr>
          </w:p>
        </w:tc>
        <w:tc>
          <w:tcPr>
            <w:tcW w:w="4920" w:type="dxa"/>
            <w:shd w:val="clear" w:color="auto" w:fill="auto"/>
          </w:tcPr>
          <w:p w14:paraId="62585AE2">
            <w:pPr>
              <w:wordWrap w:val="0"/>
              <w:spacing w:line="360" w:lineRule="auto"/>
              <w:ind w:firstLine="482" w:firstLineChars="200"/>
              <w:rPr>
                <w:rFonts w:hint="eastAsia" w:ascii="仿宋" w:hAnsi="仿宋" w:eastAsia="仿宋" w:cs="仿宋"/>
                <w:b/>
                <w:kern w:val="0"/>
                <w:sz w:val="24"/>
                <w:highlight w:val="none"/>
              </w:rPr>
            </w:pPr>
          </w:p>
        </w:tc>
      </w:tr>
    </w:tbl>
    <w:p w14:paraId="6189A1A1">
      <w:pPr>
        <w:wordWrap w:val="0"/>
        <w:spacing w:line="360" w:lineRule="auto"/>
        <w:ind w:firstLine="480" w:firstLineChars="200"/>
        <w:rPr>
          <w:rFonts w:hint="eastAsia" w:ascii="仿宋" w:hAnsi="仿宋" w:eastAsia="仿宋" w:cs="仿宋"/>
          <w:sz w:val="24"/>
          <w:highlight w:val="none"/>
        </w:rPr>
      </w:pPr>
    </w:p>
    <w:p w14:paraId="69271EA1">
      <w:pPr>
        <w:wordWrap w:val="0"/>
        <w:spacing w:line="360" w:lineRule="auto"/>
        <w:jc w:val="center"/>
        <w:rPr>
          <w:rFonts w:hint="eastAsia" w:ascii="仿宋" w:hAnsi="仿宋" w:eastAsia="仿宋" w:cs="仿宋"/>
          <w:b/>
          <w:kern w:val="0"/>
          <w:sz w:val="24"/>
          <w:highlight w:val="none"/>
        </w:rPr>
      </w:pPr>
    </w:p>
    <w:p w14:paraId="6CC0315D">
      <w:pPr>
        <w:wordWrap w:val="0"/>
        <w:spacing w:line="360" w:lineRule="auto"/>
        <w:jc w:val="center"/>
        <w:rPr>
          <w:rFonts w:hint="eastAsia" w:ascii="仿宋" w:hAnsi="仿宋" w:eastAsia="仿宋" w:cs="仿宋"/>
          <w:b/>
          <w:kern w:val="0"/>
          <w:sz w:val="24"/>
          <w:highlight w:val="none"/>
        </w:rPr>
      </w:pPr>
    </w:p>
    <w:p w14:paraId="0C5A5507">
      <w:pPr>
        <w:wordWrap w:val="0"/>
        <w:spacing w:line="360" w:lineRule="auto"/>
        <w:jc w:val="center"/>
        <w:rPr>
          <w:rFonts w:hint="eastAsia" w:ascii="仿宋" w:hAnsi="仿宋" w:eastAsia="仿宋" w:cs="仿宋"/>
          <w:b/>
          <w:kern w:val="0"/>
          <w:sz w:val="24"/>
          <w:highlight w:val="none"/>
        </w:rPr>
      </w:pPr>
    </w:p>
    <w:p w14:paraId="5FBAD9FD">
      <w:pPr>
        <w:wordWrap w:val="0"/>
        <w:spacing w:line="360" w:lineRule="auto"/>
        <w:jc w:val="center"/>
        <w:rPr>
          <w:rFonts w:hint="eastAsia" w:ascii="仿宋" w:hAnsi="仿宋" w:eastAsia="仿宋" w:cs="仿宋"/>
          <w:b/>
          <w:kern w:val="0"/>
          <w:sz w:val="24"/>
          <w:highlight w:val="none"/>
        </w:rPr>
      </w:pPr>
    </w:p>
    <w:p w14:paraId="70FF991A">
      <w:pPr>
        <w:wordWrap w:val="0"/>
        <w:spacing w:line="360" w:lineRule="auto"/>
        <w:jc w:val="center"/>
        <w:rPr>
          <w:rFonts w:hint="eastAsia" w:ascii="仿宋" w:hAnsi="仿宋" w:eastAsia="仿宋" w:cs="仿宋"/>
          <w:b/>
          <w:kern w:val="0"/>
          <w:sz w:val="24"/>
          <w:highlight w:val="none"/>
        </w:rPr>
      </w:pPr>
    </w:p>
    <w:p w14:paraId="6505C51D">
      <w:pPr>
        <w:wordWrap w:val="0"/>
        <w:spacing w:line="360" w:lineRule="auto"/>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内蒙古蒙牛乳业（集团）股份有限公司：</w:t>
      </w:r>
    </w:p>
    <w:p w14:paraId="601F14C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（投标人全称）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（法人姓名）</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项目招标活动中的一切事宜。</w:t>
      </w:r>
    </w:p>
    <w:p w14:paraId="6349DD47">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E1444F3">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投标人全称（公章）：</w:t>
      </w:r>
    </w:p>
    <w:p w14:paraId="7883D79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法定代表人（签字或盖章）： </w:t>
      </w:r>
    </w:p>
    <w:p w14:paraId="428B6A00">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04ED00C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身份证号码：</w:t>
      </w:r>
    </w:p>
    <w:p w14:paraId="03B30739">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w:t>
      </w:r>
    </w:p>
    <w:p w14:paraId="1024DFAA">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职      务：</w:t>
      </w:r>
    </w:p>
    <w:p w14:paraId="5B4AC6A8">
      <w:pPr>
        <w:wordWrap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 xml:space="preserve">                                        年  月  日    </w:t>
      </w:r>
    </w:p>
    <w:p w14:paraId="288AA7EA">
      <w:pPr>
        <w:wordWrap w:val="0"/>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法定代表人身份证复印件（正反面）</w:t>
            </w:r>
          </w:p>
        </w:tc>
        <w:tc>
          <w:tcPr>
            <w:tcW w:w="4930" w:type="dxa"/>
          </w:tcPr>
          <w:p w14:paraId="41C38731">
            <w:pPr>
              <w:wordWrap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5215" w:type="dxa"/>
          </w:tcPr>
          <w:p w14:paraId="2E30EF4B">
            <w:pPr>
              <w:wordWrap w:val="0"/>
              <w:spacing w:line="360" w:lineRule="auto"/>
              <w:ind w:firstLine="480" w:firstLineChars="200"/>
              <w:rPr>
                <w:rFonts w:hint="eastAsia" w:ascii="仿宋" w:hAnsi="仿宋" w:eastAsia="仿宋" w:cs="仿宋"/>
                <w:sz w:val="24"/>
                <w:highlight w:val="none"/>
              </w:rPr>
            </w:pPr>
          </w:p>
        </w:tc>
        <w:tc>
          <w:tcPr>
            <w:tcW w:w="4930" w:type="dxa"/>
          </w:tcPr>
          <w:p w14:paraId="0FC6E623">
            <w:pPr>
              <w:wordWrap w:val="0"/>
              <w:spacing w:line="360" w:lineRule="auto"/>
              <w:ind w:firstLine="480" w:firstLineChars="200"/>
              <w:rPr>
                <w:rFonts w:hint="eastAsia" w:ascii="仿宋" w:hAnsi="仿宋" w:eastAsia="仿宋" w:cs="仿宋"/>
                <w:sz w:val="24"/>
                <w:highlight w:val="none"/>
              </w:rPr>
            </w:pPr>
          </w:p>
        </w:tc>
      </w:tr>
    </w:tbl>
    <w:p w14:paraId="7C0AD9DD">
      <w:pPr>
        <w:wordWrap w:val="0"/>
        <w:spacing w:line="360" w:lineRule="auto"/>
        <w:jc w:val="center"/>
        <w:rPr>
          <w:rFonts w:hint="eastAsia" w:ascii="仿宋" w:hAnsi="仿宋" w:eastAsia="仿宋" w:cs="仿宋"/>
          <w:b/>
          <w:sz w:val="24"/>
          <w:highlight w:val="none"/>
        </w:rPr>
      </w:pPr>
    </w:p>
    <w:p w14:paraId="02256B35">
      <w:pPr>
        <w:wordWrap w:val="0"/>
        <w:spacing w:line="360" w:lineRule="auto"/>
        <w:jc w:val="center"/>
        <w:rPr>
          <w:rFonts w:hint="eastAsia" w:ascii="仿宋" w:hAnsi="仿宋" w:eastAsia="仿宋" w:cs="仿宋"/>
          <w:b/>
          <w:sz w:val="24"/>
          <w:highlight w:val="none"/>
        </w:rPr>
      </w:pPr>
    </w:p>
    <w:p w14:paraId="155A31B0">
      <w:pPr>
        <w:wordWrap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授权委托人社保证明材料</w:t>
      </w:r>
    </w:p>
    <w:p w14:paraId="6DAC59D7">
      <w:pPr>
        <w:pStyle w:val="12"/>
        <w:wordWrap w:val="0"/>
        <w:ind w:firstLine="0" w:firstLineChars="0"/>
        <w:jc w:val="center"/>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w:t>
      </w:r>
      <w:r>
        <w:rPr>
          <w:rFonts w:hint="eastAsia" w:ascii="仿宋" w:hAnsi="仿宋" w:eastAsia="仿宋" w:cs="仿宋"/>
          <w:i/>
          <w:color w:val="FF0000"/>
          <w:sz w:val="24"/>
          <w:szCs w:val="24"/>
          <w:highlight w:val="none"/>
          <w:shd w:val="clear" w:color="auto" w:fill="FFFFFF"/>
        </w:rPr>
        <w:t>要求：1、具备社保局出具的材料；2、具备本单位名称及授权委托人姓名</w:t>
      </w:r>
      <w:r>
        <w:rPr>
          <w:rFonts w:hint="eastAsia" w:ascii="仿宋" w:hAnsi="仿宋" w:eastAsia="仿宋" w:cs="仿宋"/>
          <w:sz w:val="24"/>
          <w:szCs w:val="24"/>
          <w:highlight w:val="none"/>
          <w:shd w:val="clear" w:color="auto" w:fill="FFFFFF"/>
        </w:rPr>
        <w:t>）</w:t>
      </w:r>
    </w:p>
    <w:p w14:paraId="09BEF735">
      <w:pPr>
        <w:wordWrap w:val="0"/>
        <w:spacing w:line="360" w:lineRule="auto"/>
        <w:rPr>
          <w:rFonts w:hint="eastAsia" w:ascii="仿宋_GB2312" w:hAnsi="宋体" w:eastAsia="仿宋_GB2312" w:cs="仿宋"/>
          <w:sz w:val="24"/>
          <w:highlight w:val="none"/>
        </w:rPr>
      </w:pPr>
      <w:r>
        <w:rPr>
          <w:rFonts w:hint="eastAsia" w:ascii="仿宋" w:hAnsi="仿宋" w:eastAsia="仿宋" w:cs="仿宋"/>
          <w:sz w:val="24"/>
          <w:highlight w:val="none"/>
        </w:rPr>
        <w:br w:type="page"/>
      </w:r>
      <w:r>
        <w:rPr>
          <w:rFonts w:ascii="仿宋_GB2312" w:hAnsi="宋体" w:eastAsia="仿宋_GB2312" w:cs="仿宋"/>
          <w:sz w:val="24"/>
          <w:highlight w:val="none"/>
        </w:rPr>
        <w:t>附件2</w:t>
      </w:r>
      <w:r>
        <w:rPr>
          <w:rFonts w:hint="eastAsia" w:ascii="仿宋_GB2312" w:hAnsi="宋体" w:eastAsia="仿宋_GB2312" w:cs="仿宋"/>
          <w:sz w:val="24"/>
          <w:highlight w:val="none"/>
        </w:rPr>
        <w:t>：</w:t>
      </w:r>
    </w:p>
    <w:p w14:paraId="4EC9D526">
      <w:pPr>
        <w:wordWrap w:val="0"/>
        <w:spacing w:line="360" w:lineRule="auto"/>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7B059CE9">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甲方：内蒙古蒙牛乳业（集团）股份有限公司</w:t>
      </w:r>
    </w:p>
    <w:p w14:paraId="18C6810A">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地址：内蒙古呼和浩特市和林格尔县盛乐经济园区</w:t>
      </w:r>
    </w:p>
    <w:p w14:paraId="1A7654A5">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14:paraId="456E1ECF">
      <w:pPr>
        <w:wordWrap w:val="0"/>
        <w:adjustRightInd w:val="0"/>
        <w:snapToGrid w:val="0"/>
        <w:spacing w:line="360" w:lineRule="auto"/>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14:paraId="51330D88">
      <w:pPr>
        <w:shd w:val="clear" w:color="auto" w:fill="FFFFFF"/>
        <w:wordWrap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甲乙双方就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14:paraId="69A6A18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14:paraId="68473A30">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14:paraId="70B3B52E">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14:paraId="08055D92">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14:paraId="0D441E33">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14:paraId="3D7608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14:paraId="45DDC4DF">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14:paraId="492FE02B">
      <w:pPr>
        <w:pStyle w:val="10"/>
        <w:wordWrap w:val="0"/>
        <w:spacing w:line="360" w:lineRule="auto"/>
        <w:ind w:left="0" w:firstLine="480" w:firstLineChars="200"/>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highlight w:val="none"/>
        </w:rPr>
        <w:t xml:space="preserve">  </w:t>
      </w:r>
    </w:p>
    <w:p w14:paraId="2472C649">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14:paraId="55B8297E">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14:paraId="64854AF4">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15</w:t>
      </w:r>
      <w:r>
        <w:rPr>
          <w:rFonts w:hint="eastAsia" w:ascii="仿宋" w:hAnsi="仿宋" w:eastAsia="仿宋" w:cs="仿宋"/>
          <w:color w:val="000000"/>
          <w:kern w:val="0"/>
          <w:sz w:val="24"/>
          <w:szCs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14:paraId="45D698B9">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14:paraId="45CE0F7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14:paraId="708D778D">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wordWrap w:val="0"/>
        <w:adjustRightInd w:val="0"/>
        <w:snapToGrid w:val="0"/>
        <w:spacing w:line="360" w:lineRule="auto"/>
        <w:ind w:firstLine="482" w:firstLineChars="200"/>
        <w:textAlignment w:val="baseline"/>
        <w:rPr>
          <w:rFonts w:hint="eastAsia"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14:paraId="4A7DE033">
      <w:pPr>
        <w:pStyle w:val="5"/>
        <w:wordWrap w:val="0"/>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本承诺书中乙方之保密义务应自乙方收到机密信息之日起</w:t>
      </w:r>
      <w:r>
        <w:rPr>
          <w:rFonts w:hint="eastAsia" w:ascii="仿宋" w:hAnsi="仿宋" w:eastAsia="仿宋" w:cs="仿宋"/>
          <w:color w:val="000000"/>
          <w:kern w:val="0"/>
          <w:sz w:val="24"/>
          <w:szCs w:val="24"/>
          <w:highlight w:val="none"/>
          <w:u w:val="single"/>
        </w:rPr>
        <w:t xml:space="preserve">  </w:t>
      </w:r>
      <w:r>
        <w:rPr>
          <w:rFonts w:ascii="仿宋" w:hAnsi="仿宋" w:eastAsia="仿宋" w:cs="仿宋"/>
          <w:color w:val="000000"/>
          <w:kern w:val="0"/>
          <w:sz w:val="24"/>
          <w:szCs w:val="24"/>
          <w:highlight w:val="none"/>
          <w:u w:val="single"/>
        </w:rPr>
        <w:t>5</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rPr>
        <w:t>年内持续有效，且不因承诺书目的之达成而终止。</w:t>
      </w:r>
    </w:p>
    <w:p w14:paraId="5FCDAA11">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十、补充条款</w:t>
      </w:r>
    </w:p>
    <w:p w14:paraId="56CCB425">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（一）合规条款</w:t>
      </w:r>
    </w:p>
    <w:p w14:paraId="36B7063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2、履约行为合规承诺：乙方承诺具有履行本承诺书约定的能力，且履行行为符合现行法律法规等规范性文件的要求。</w:t>
      </w:r>
    </w:p>
    <w:p w14:paraId="653EEC2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4、合规检查：乙方应积极配合甲方的合规检查，理解并接受甲方对乙方的合规管理要求，同意配合合规检查，并不得隐瞒任何可能对甲方利益造成影响的信息。</w:t>
      </w:r>
    </w:p>
    <w:p w14:paraId="037B8BF1">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5、劳动用工:</w:t>
      </w:r>
      <w:r>
        <w:rPr>
          <w:rFonts w:hint="eastAsia" w:hAnsi="仿宋"/>
          <w:sz w:val="24"/>
          <w:szCs w:val="24"/>
          <w:highlight w:val="none"/>
        </w:rPr>
        <w:t xml:space="preserve"> </w:t>
      </w:r>
      <w:r>
        <w:rPr>
          <w:rFonts w:hint="eastAsia" w:hAnsi="仿宋"/>
          <w:color w:val="000000"/>
          <w:sz w:val="24"/>
          <w:szCs w:val="24"/>
          <w:highlight w:val="none"/>
        </w:rPr>
        <w:t>乙方承诺不雇佣、使用童工，保障其员工的劳动合法权益，不纵容、支持、实施歧视、威胁员工的行为或发布相关言论。</w:t>
      </w:r>
    </w:p>
    <w:p w14:paraId="1DD57F6A">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7、严格约束乙方员工及其代理人：乙方承诺严格遵守合规承诺条款，若乙方员工及乙方的代理人或代理机构违反相关承诺即视为乙方违反。</w:t>
      </w:r>
    </w:p>
    <w:p w14:paraId="73C3103D">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10、责任承担：如果乙方违反前述合规承诺条款，甲方有权要求乙方承担因此而给甲方造成的全部损失。</w:t>
      </w:r>
    </w:p>
    <w:p w14:paraId="06018C48">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12、适用原则：本承诺书中合规条款对乙方的要求与承诺书中其他条款不一致的，以对乙方要求更高的条款为准。</w:t>
      </w:r>
    </w:p>
    <w:p w14:paraId="0C3E2CDA">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（二）环境保护</w:t>
      </w:r>
    </w:p>
    <w:p w14:paraId="12944CBE">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wordWrap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（三）附件法律效力条款</w:t>
      </w:r>
    </w:p>
    <w:p w14:paraId="4E88B4E1">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十一、适用法律</w:t>
      </w:r>
    </w:p>
    <w:p w14:paraId="45771FEC">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【二】</w:t>
      </w:r>
      <w:r>
        <w:rPr>
          <w:rFonts w:hint="eastAsia" w:ascii="仿宋" w:hAnsi="仿宋" w:eastAsia="仿宋" w:cs="仿宋"/>
          <w:color w:val="000000"/>
          <w:kern w:val="0"/>
          <w:sz w:val="24"/>
          <w:highlight w:val="none"/>
        </w:rPr>
        <w:t>种方式解决：</w:t>
      </w:r>
    </w:p>
    <w:p w14:paraId="04836A7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14:paraId="5D7C1EAA">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14:paraId="413596DE">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十二、违约责任及救济</w:t>
      </w:r>
    </w:p>
    <w:p w14:paraId="38DDB830">
      <w:pPr>
        <w:wordWrap w:val="0"/>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wordWrap w:val="0"/>
        <w:spacing w:line="360" w:lineRule="auto"/>
        <w:ind w:firstLine="482" w:firstLineChars="200"/>
        <w:rPr>
          <w:rFonts w:hint="eastAsia"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14:paraId="4648C6B8">
      <w:pPr>
        <w:pStyle w:val="4"/>
        <w:wordWrap w:val="0"/>
        <w:autoSpaceDE/>
        <w:autoSpaceDN/>
        <w:spacing w:line="360" w:lineRule="auto"/>
        <w:ind w:left="0" w:firstLine="482" w:firstLineChars="200"/>
        <w:jc w:val="both"/>
        <w:rPr>
          <w:rFonts w:hint="eastAsia" w:hAnsi="仿宋"/>
          <w:b/>
          <w:color w:val="000000"/>
          <w:sz w:val="24"/>
          <w:szCs w:val="24"/>
          <w:highlight w:val="none"/>
        </w:rPr>
      </w:pPr>
      <w:r>
        <w:rPr>
          <w:rFonts w:hint="eastAsia" w:hAnsi="仿宋"/>
          <w:b/>
          <w:color w:val="000000"/>
          <w:sz w:val="24"/>
          <w:szCs w:val="24"/>
          <w:highlight w:val="none"/>
        </w:rPr>
        <w:t>十三、生效及份数</w:t>
      </w:r>
    </w:p>
    <w:p w14:paraId="65160347">
      <w:pPr>
        <w:pStyle w:val="4"/>
        <w:wordWrap w:val="0"/>
        <w:autoSpaceDE/>
        <w:autoSpaceDN/>
        <w:spacing w:line="360" w:lineRule="auto"/>
        <w:ind w:left="0" w:firstLine="480" w:firstLineChars="200"/>
        <w:jc w:val="both"/>
        <w:rPr>
          <w:rFonts w:hint="eastAsia" w:hAnsi="仿宋"/>
          <w:color w:val="000000"/>
          <w:sz w:val="24"/>
          <w:szCs w:val="24"/>
          <w:highlight w:val="none"/>
        </w:rPr>
      </w:pPr>
      <w:r>
        <w:rPr>
          <w:rFonts w:hint="eastAsia" w:hAnsi="仿宋"/>
          <w:color w:val="000000"/>
          <w:sz w:val="24"/>
          <w:szCs w:val="24"/>
          <w:highlight w:val="none"/>
        </w:rPr>
        <w:t>本承诺书经乙方签字盖章之日起生效。</w:t>
      </w:r>
    </w:p>
    <w:p w14:paraId="4386DFEB">
      <w:pPr>
        <w:wordWrap w:val="0"/>
        <w:spacing w:line="360" w:lineRule="auto"/>
        <w:ind w:firstLine="482" w:firstLineChars="200"/>
        <w:rPr>
          <w:rFonts w:hint="eastAsia" w:ascii="仿宋" w:hAnsi="仿宋" w:eastAsia="仿宋" w:cs="仿宋"/>
          <w:b/>
          <w:bCs/>
          <w:sz w:val="24"/>
          <w:highlight w:val="none"/>
        </w:rPr>
      </w:pPr>
    </w:p>
    <w:p w14:paraId="389F6C9D">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14:paraId="4D8D4584">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ab/>
      </w:r>
      <w:r>
        <w:rPr>
          <w:rFonts w:hint="eastAsia" w:ascii="仿宋" w:hAnsi="仿宋" w:eastAsia="仿宋" w:cs="仿宋"/>
          <w:color w:val="000000"/>
          <w:kern w:val="0"/>
          <w:sz w:val="24"/>
          <w:highlight w:val="none"/>
        </w:rPr>
        <w:t xml:space="preserve">                            </w:t>
      </w:r>
    </w:p>
    <w:p w14:paraId="43D77E0F">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0C2C83B9">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4CFE82E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p w14:paraId="2EC5F907">
      <w:pPr>
        <w:wordWrap w:val="0"/>
        <w:spacing w:line="360" w:lineRule="auto"/>
        <w:ind w:firstLine="480" w:firstLineChars="200"/>
        <w:rPr>
          <w:rFonts w:hint="eastAsia" w:ascii="仿宋" w:hAnsi="仿宋" w:eastAsia="仿宋" w:cs="仿宋"/>
          <w:kern w:val="0"/>
          <w:sz w:val="24"/>
          <w:highlight w:val="none"/>
        </w:rPr>
      </w:pPr>
      <w:r>
        <w:rPr>
          <w:rFonts w:ascii="仿宋" w:hAnsi="仿宋" w:eastAsia="仿宋" w:cs="仿宋"/>
          <w:kern w:val="0"/>
          <w:sz w:val="24"/>
          <w:highlight w:val="none"/>
        </w:rPr>
        <w:br w:type="page"/>
      </w:r>
    </w:p>
    <w:p w14:paraId="06A142FC">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3</w:t>
      </w:r>
    </w:p>
    <w:p w14:paraId="5F277E0B">
      <w:pPr>
        <w:wordWrap w:val="0"/>
        <w:spacing w:line="360" w:lineRule="auto"/>
        <w:jc w:val="center"/>
        <w:rPr>
          <w:rFonts w:hint="eastAsia" w:ascii="仿宋" w:hAnsi="仿宋" w:eastAsia="仿宋" w:cs="仿宋"/>
          <w:color w:val="000000"/>
          <w:sz w:val="24"/>
          <w:highlight w:val="none"/>
        </w:rPr>
      </w:pPr>
      <w:r>
        <w:rPr>
          <w:rFonts w:hint="eastAsia" w:ascii="仿宋" w:hAnsi="仿宋" w:eastAsia="仿宋" w:cs="仿宋"/>
          <w:b/>
          <w:sz w:val="24"/>
          <w:highlight w:val="none"/>
        </w:rPr>
        <w:t>非联合体竞谈，不分包或转包声明</w:t>
      </w:r>
    </w:p>
    <w:p w14:paraId="4B62650E">
      <w:pPr>
        <w:pStyle w:val="4"/>
        <w:wordWrap w:val="0"/>
        <w:autoSpaceDE/>
        <w:autoSpaceDN/>
        <w:spacing w:line="360" w:lineRule="auto"/>
        <w:ind w:left="0" w:firstLine="480" w:firstLineChars="200"/>
        <w:jc w:val="both"/>
        <w:rPr>
          <w:rFonts w:hint="eastAsia" w:hAnsi="仿宋"/>
          <w:sz w:val="24"/>
          <w:szCs w:val="24"/>
          <w:highlight w:val="none"/>
        </w:rPr>
      </w:pPr>
    </w:p>
    <w:p w14:paraId="66CAF631">
      <w:pPr>
        <w:pStyle w:val="4"/>
        <w:wordWrap w:val="0"/>
        <w:autoSpaceDE/>
        <w:autoSpaceDN/>
        <w:spacing w:line="360" w:lineRule="auto"/>
        <w:ind w:left="0"/>
        <w:jc w:val="both"/>
        <w:rPr>
          <w:rFonts w:hint="eastAsia" w:hAnsi="仿宋"/>
          <w:sz w:val="24"/>
          <w:szCs w:val="24"/>
          <w:highlight w:val="none"/>
        </w:rPr>
      </w:pPr>
      <w:r>
        <w:rPr>
          <w:rFonts w:hint="eastAsia" w:hAnsi="仿宋"/>
          <w:sz w:val="24"/>
          <w:szCs w:val="24"/>
          <w:highlight w:val="none"/>
        </w:rPr>
        <w:t>致:内蒙古蒙牛乳业（集团）股份有限公司</w:t>
      </w:r>
    </w:p>
    <w:p w14:paraId="28AC1C16">
      <w:pPr>
        <w:pStyle w:val="22"/>
        <w:wordWrap w:val="0"/>
        <w:adjustRightInd w:val="0"/>
        <w:snapToGrid w:val="0"/>
        <w:spacing w:line="360" w:lineRule="auto"/>
        <w:ind w:firstLine="480"/>
        <w:rPr>
          <w:rFonts w:hint="eastAsia" w:ascii="仿宋" w:hAnsi="仿宋" w:eastAsia="仿宋" w:cs="仿宋"/>
          <w:kern w:val="0"/>
          <w:sz w:val="24"/>
          <w:highlight w:val="none"/>
        </w:rPr>
      </w:pPr>
    </w:p>
    <w:p w14:paraId="28EF222F">
      <w:pPr>
        <w:pStyle w:val="22"/>
        <w:wordWrap w:val="0"/>
        <w:adjustRightInd w:val="0"/>
        <w:snapToGrid w:val="0"/>
        <w:spacing w:line="480" w:lineRule="auto"/>
        <w:ind w:firstLine="480"/>
        <w:rPr>
          <w:rFonts w:hint="eastAsia" w:ascii="仿宋" w:hAnsi="仿宋" w:eastAsia="仿宋" w:cs="仿宋"/>
          <w:b/>
          <w:kern w:val="0"/>
          <w:sz w:val="24"/>
          <w:highlight w:val="none"/>
        </w:rPr>
      </w:pPr>
      <w:r>
        <w:rPr>
          <w:rFonts w:hint="eastAsia" w:ascii="仿宋" w:hAnsi="仿宋" w:eastAsia="仿宋" w:cs="仿宋"/>
          <w:kern w:val="0"/>
          <w:sz w:val="24"/>
          <w:highlight w:val="none"/>
        </w:rPr>
        <w:t>关于"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项目</w:t>
      </w:r>
      <w:r>
        <w:rPr>
          <w:rFonts w:hint="eastAsia" w:ascii="仿宋" w:hAnsi="仿宋" w:eastAsia="仿宋" w:cs="仿宋"/>
          <w:sz w:val="24"/>
          <w:highlight w:val="none"/>
        </w:rPr>
        <w:t>(项目编号:</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rPr>
        <w:t>项目，我公司未采取联合体形式参与本项目，承诺中标后不分包或转包。</w:t>
      </w:r>
    </w:p>
    <w:p w14:paraId="70CFFECE">
      <w:pPr>
        <w:pStyle w:val="4"/>
        <w:wordWrap w:val="0"/>
        <w:autoSpaceDE/>
        <w:autoSpaceDN/>
        <w:spacing w:line="360" w:lineRule="auto"/>
        <w:ind w:left="0" w:firstLine="480" w:firstLineChars="200"/>
        <w:jc w:val="both"/>
        <w:rPr>
          <w:rFonts w:hint="eastAsia" w:hAnsi="仿宋"/>
          <w:sz w:val="24"/>
          <w:szCs w:val="24"/>
          <w:highlight w:val="none"/>
        </w:rPr>
      </w:pPr>
    </w:p>
    <w:p w14:paraId="1E75B38D">
      <w:pPr>
        <w:pStyle w:val="4"/>
        <w:wordWrap w:val="0"/>
        <w:autoSpaceDE/>
        <w:autoSpaceDN/>
        <w:spacing w:line="360" w:lineRule="auto"/>
        <w:ind w:left="0" w:firstLine="480" w:firstLineChars="200"/>
        <w:jc w:val="both"/>
        <w:rPr>
          <w:rFonts w:hint="eastAsia" w:hAnsi="仿宋"/>
          <w:sz w:val="24"/>
          <w:szCs w:val="24"/>
          <w:highlight w:val="none"/>
        </w:rPr>
      </w:pPr>
    </w:p>
    <w:p w14:paraId="7E6B5E8D">
      <w:pPr>
        <w:pStyle w:val="4"/>
        <w:wordWrap w:val="0"/>
        <w:autoSpaceDE/>
        <w:autoSpaceDN/>
        <w:spacing w:line="360" w:lineRule="auto"/>
        <w:ind w:left="0" w:firstLine="480" w:firstLineChars="200"/>
        <w:jc w:val="both"/>
        <w:rPr>
          <w:rFonts w:hint="eastAsia" w:hAnsi="仿宋"/>
          <w:sz w:val="24"/>
          <w:szCs w:val="24"/>
          <w:highlight w:val="none"/>
        </w:rPr>
      </w:pPr>
      <w:r>
        <w:rPr>
          <w:rFonts w:hint="eastAsia" w:hAnsi="仿宋"/>
          <w:sz w:val="24"/>
          <w:szCs w:val="24"/>
          <w:highlight w:val="none"/>
        </w:rPr>
        <w:t>特此声明!</w:t>
      </w:r>
    </w:p>
    <w:p w14:paraId="1322702D">
      <w:pPr>
        <w:pStyle w:val="4"/>
        <w:wordWrap w:val="0"/>
        <w:autoSpaceDE/>
        <w:autoSpaceDN/>
        <w:spacing w:line="360" w:lineRule="auto"/>
        <w:ind w:left="0" w:firstLine="480" w:firstLineChars="200"/>
        <w:jc w:val="both"/>
        <w:rPr>
          <w:rFonts w:hint="eastAsia" w:hAnsi="仿宋"/>
          <w:sz w:val="24"/>
          <w:szCs w:val="24"/>
          <w:highlight w:val="none"/>
        </w:rPr>
      </w:pPr>
    </w:p>
    <w:p w14:paraId="603C071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79E9944F">
      <w:pPr>
        <w:wordWrap w:val="0"/>
        <w:spacing w:line="360" w:lineRule="auto"/>
        <w:ind w:firstLine="480" w:firstLineChars="200"/>
        <w:rPr>
          <w:rFonts w:hint="eastAsia" w:ascii="仿宋" w:hAnsi="仿宋" w:eastAsia="仿宋" w:cs="仿宋"/>
          <w:color w:val="000000"/>
          <w:sz w:val="24"/>
          <w:highlight w:val="none"/>
          <w:lang w:bidi="ar"/>
        </w:rPr>
      </w:pPr>
    </w:p>
    <w:p w14:paraId="10EBA46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3B0F7151">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3B9957A5">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303DC9BD">
      <w:pPr>
        <w:pStyle w:val="4"/>
        <w:wordWrap w:val="0"/>
        <w:autoSpaceDE/>
        <w:autoSpaceDN/>
        <w:spacing w:line="360" w:lineRule="auto"/>
        <w:ind w:left="0" w:firstLine="480" w:firstLineChars="200"/>
        <w:jc w:val="both"/>
        <w:rPr>
          <w:rFonts w:hint="eastAsia" w:hAnsi="仿宋"/>
          <w:sz w:val="24"/>
          <w:szCs w:val="24"/>
          <w:highlight w:val="none"/>
        </w:rPr>
      </w:pPr>
    </w:p>
    <w:p w14:paraId="4D7126B6">
      <w:pPr>
        <w:pStyle w:val="4"/>
        <w:wordWrap w:val="0"/>
        <w:autoSpaceDE/>
        <w:autoSpaceDN/>
        <w:spacing w:line="360" w:lineRule="auto"/>
        <w:ind w:left="0" w:firstLine="480" w:firstLineChars="200"/>
        <w:jc w:val="both"/>
        <w:rPr>
          <w:rFonts w:hint="eastAsia" w:hAnsi="仿宋"/>
          <w:sz w:val="24"/>
          <w:szCs w:val="24"/>
          <w:highlight w:val="none"/>
        </w:rPr>
      </w:pPr>
    </w:p>
    <w:p w14:paraId="08E6DFCC">
      <w:pPr>
        <w:pStyle w:val="4"/>
        <w:wordWrap w:val="0"/>
        <w:autoSpaceDE/>
        <w:autoSpaceDN/>
        <w:spacing w:line="360" w:lineRule="auto"/>
        <w:ind w:left="0" w:firstLine="480" w:firstLineChars="200"/>
        <w:jc w:val="both"/>
        <w:rPr>
          <w:rFonts w:hint="eastAsia" w:hAnsi="仿宋"/>
          <w:sz w:val="24"/>
          <w:szCs w:val="24"/>
          <w:highlight w:val="none"/>
        </w:rPr>
      </w:pPr>
    </w:p>
    <w:p w14:paraId="1C245A1F">
      <w:pPr>
        <w:pStyle w:val="4"/>
        <w:wordWrap w:val="0"/>
        <w:autoSpaceDE/>
        <w:autoSpaceDN/>
        <w:spacing w:line="360" w:lineRule="auto"/>
        <w:ind w:left="0" w:firstLine="480" w:firstLineChars="200"/>
        <w:jc w:val="both"/>
        <w:rPr>
          <w:rFonts w:hint="eastAsia" w:hAnsi="仿宋"/>
          <w:sz w:val="24"/>
          <w:szCs w:val="24"/>
          <w:highlight w:val="none"/>
        </w:rPr>
      </w:pPr>
    </w:p>
    <w:p w14:paraId="39A215E7">
      <w:pPr>
        <w:pStyle w:val="4"/>
        <w:wordWrap w:val="0"/>
        <w:autoSpaceDE/>
        <w:autoSpaceDN/>
        <w:spacing w:line="360" w:lineRule="auto"/>
        <w:ind w:left="0" w:firstLine="480" w:firstLineChars="200"/>
        <w:jc w:val="both"/>
        <w:rPr>
          <w:rFonts w:hint="eastAsia" w:hAnsi="仿宋"/>
          <w:sz w:val="24"/>
          <w:szCs w:val="24"/>
          <w:highlight w:val="none"/>
        </w:rPr>
      </w:pPr>
    </w:p>
    <w:p w14:paraId="77BF2AE9">
      <w:pPr>
        <w:wordWrap w:val="0"/>
        <w:spacing w:line="360" w:lineRule="auto"/>
        <w:ind w:firstLine="482" w:firstLineChars="200"/>
        <w:rPr>
          <w:rFonts w:hint="eastAsia" w:ascii="仿宋" w:hAnsi="仿宋" w:eastAsia="仿宋" w:cs="仿宋"/>
          <w:b/>
          <w:sz w:val="24"/>
          <w:highlight w:val="none"/>
        </w:rPr>
      </w:pPr>
    </w:p>
    <w:p w14:paraId="22F11DA0">
      <w:pPr>
        <w:wordWrap w:val="0"/>
        <w:spacing w:line="360" w:lineRule="auto"/>
        <w:rPr>
          <w:rFonts w:hint="eastAsia" w:ascii="仿宋" w:hAnsi="仿宋" w:eastAsia="仿宋" w:cs="仿宋"/>
          <w:b/>
          <w:sz w:val="24"/>
          <w:highlight w:val="none"/>
        </w:rPr>
      </w:pPr>
    </w:p>
    <w:p w14:paraId="6943CF64">
      <w:pPr>
        <w:wordWrap w:val="0"/>
        <w:spacing w:line="360" w:lineRule="auto"/>
        <w:rPr>
          <w:rFonts w:hint="eastAsia" w:ascii="仿宋" w:hAnsi="仿宋" w:eastAsia="仿宋" w:cs="仿宋"/>
          <w:b/>
          <w:sz w:val="24"/>
          <w:highlight w:val="none"/>
        </w:rPr>
      </w:pPr>
    </w:p>
    <w:p w14:paraId="1741C7C4">
      <w:pPr>
        <w:wordWrap w:val="0"/>
        <w:spacing w:line="360" w:lineRule="auto"/>
        <w:rPr>
          <w:rFonts w:hint="eastAsia" w:ascii="仿宋" w:hAnsi="仿宋" w:eastAsia="仿宋" w:cs="仿宋"/>
          <w:b/>
          <w:sz w:val="24"/>
          <w:highlight w:val="none"/>
        </w:rPr>
      </w:pPr>
    </w:p>
    <w:p w14:paraId="1349EE66">
      <w:pPr>
        <w:wordWrap w:val="0"/>
        <w:spacing w:line="360" w:lineRule="auto"/>
        <w:rPr>
          <w:rFonts w:hint="eastAsia" w:ascii="仿宋" w:hAnsi="仿宋" w:eastAsia="仿宋" w:cs="仿宋"/>
          <w:b/>
          <w:sz w:val="24"/>
          <w:highlight w:val="none"/>
        </w:rPr>
      </w:pPr>
    </w:p>
    <w:p w14:paraId="1016AA91">
      <w:pPr>
        <w:wordWrap w:val="0"/>
        <w:spacing w:line="360" w:lineRule="auto"/>
        <w:rPr>
          <w:rFonts w:hint="eastAsia" w:ascii="仿宋" w:hAnsi="仿宋" w:eastAsia="仿宋" w:cs="仿宋"/>
          <w:b/>
          <w:sz w:val="24"/>
          <w:highlight w:val="none"/>
        </w:rPr>
      </w:pPr>
    </w:p>
    <w:p w14:paraId="675A1366">
      <w:pPr>
        <w:wordWrap w:val="0"/>
        <w:spacing w:line="360" w:lineRule="auto"/>
        <w:rPr>
          <w:rFonts w:hint="eastAsia" w:ascii="仿宋" w:hAnsi="仿宋" w:eastAsia="仿宋" w:cs="仿宋"/>
          <w:b/>
          <w:sz w:val="24"/>
          <w:highlight w:val="none"/>
        </w:rPr>
      </w:pPr>
    </w:p>
    <w:p w14:paraId="72F4E7A7">
      <w:pPr>
        <w:wordWrap w:val="0"/>
        <w:spacing w:line="360" w:lineRule="auto"/>
        <w:rPr>
          <w:rFonts w:hint="eastAsia" w:ascii="仿宋" w:hAnsi="仿宋" w:eastAsia="仿宋" w:cs="仿宋"/>
          <w:b/>
          <w:sz w:val="24"/>
          <w:highlight w:val="none"/>
        </w:rPr>
      </w:pPr>
    </w:p>
    <w:p w14:paraId="7AE29604">
      <w:pPr>
        <w:wordWrap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附件4</w:t>
      </w:r>
    </w:p>
    <w:p w14:paraId="1B3490C8">
      <w:pPr>
        <w:widowControl/>
        <w:adjustRightInd w:val="0"/>
        <w:snapToGrid w:val="0"/>
        <w:spacing w:line="360" w:lineRule="auto"/>
        <w:jc w:val="center"/>
        <w:textAlignment w:val="baseline"/>
        <w:rPr>
          <w:rFonts w:hint="eastAsia" w:ascii="仿宋" w:hAnsi="仿宋" w:eastAsia="仿宋" w:cs="仿宋"/>
          <w:b/>
          <w:bCs/>
          <w:sz w:val="24"/>
          <w:highlight w:val="none"/>
        </w:rPr>
      </w:pPr>
      <w:r>
        <w:rPr>
          <w:rFonts w:hint="eastAsia" w:ascii="仿宋" w:hAnsi="仿宋" w:eastAsia="仿宋" w:cs="仿宋"/>
          <w:b/>
          <w:kern w:val="0"/>
          <w:sz w:val="28"/>
          <w:szCs w:val="28"/>
          <w:highlight w:val="none"/>
        </w:rPr>
        <w:t>关于聘用蒙牛在职人员亲属（含特定关系人）及离职人员的告知函</w:t>
      </w:r>
    </w:p>
    <w:p w14:paraId="4AA2FF21">
      <w:pPr>
        <w:wordWrap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致：内蒙古蒙牛乳业（集团）股份有限公司:</w:t>
      </w:r>
    </w:p>
    <w:p w14:paraId="6A2270D9">
      <w:pPr>
        <w:wordWrap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u w:val="single"/>
        </w:rPr>
        <w:t>***公司</w:t>
      </w:r>
      <w:r>
        <w:rPr>
          <w:rFonts w:hint="eastAsia" w:ascii="仿宋" w:hAnsi="仿宋" w:eastAsia="仿宋" w:cs="仿宋"/>
          <w:sz w:val="24"/>
          <w:highlight w:val="none"/>
        </w:rPr>
        <w:t>（请填写标准注册公司名称）于</w:t>
      </w:r>
      <w:r>
        <w:rPr>
          <w:rFonts w:hint="eastAsia" w:ascii="仿宋" w:hAnsi="仿宋" w:eastAsia="仿宋" w:cs="仿宋"/>
          <w:b/>
          <w:bCs/>
          <w:sz w:val="24"/>
          <w:highlight w:val="none"/>
          <w:u w:val="single"/>
        </w:rPr>
        <w:t>**年**日</w:t>
      </w:r>
      <w:r>
        <w:rPr>
          <w:rFonts w:hint="eastAsia" w:ascii="仿宋" w:hAnsi="仿宋" w:eastAsia="仿宋" w:cs="仿宋"/>
          <w:sz w:val="24"/>
          <w:highlight w:val="none"/>
        </w:rPr>
        <w:t>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)，并提交下述文件一份：</w:t>
      </w:r>
    </w:p>
    <w:p w14:paraId="46502932">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据此函，同意并告知如下：</w:t>
      </w:r>
    </w:p>
    <w:p w14:paraId="0C494061">
      <w:pPr>
        <w:tabs>
          <w:tab w:val="left" w:pos="1134"/>
        </w:tabs>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val="zh-CN"/>
        </w:rPr>
        <w:t>我公司参加</w:t>
      </w:r>
      <w:r>
        <w:rPr>
          <w:rFonts w:hint="eastAsia" w:ascii="仿宋" w:hAnsi="仿宋" w:eastAsia="仿宋" w:cs="仿宋"/>
          <w:sz w:val="24"/>
          <w:highlight w:val="none"/>
        </w:rPr>
        <w:t>贵方组织的采购招标项目之前，已对我公司员工进行背景调查，</w:t>
      </w:r>
      <w:r>
        <w:rPr>
          <w:rFonts w:hint="eastAsia" w:ascii="仿宋" w:hAnsi="仿宋" w:eastAsia="仿宋" w:cs="仿宋"/>
          <w:sz w:val="24"/>
          <w:highlight w:val="none"/>
        </w:rPr>
        <w:t>情况一：</w:t>
      </w:r>
      <w:r>
        <w:rPr>
          <w:rFonts w:hint="eastAsia" w:ascii="仿宋" w:hAnsi="仿宋" w:eastAsia="仿宋" w:cs="仿宋"/>
          <w:sz w:val="24"/>
          <w:highlight w:val="none"/>
        </w:rPr>
        <w:t>我公司员工未包括</w:t>
      </w:r>
      <w:r>
        <w:rPr>
          <w:rFonts w:hint="eastAsia" w:ascii="仿宋" w:hAnsi="仿宋" w:eastAsia="仿宋" w:cs="仿宋"/>
          <w:color w:val="000000"/>
          <w:sz w:val="24"/>
          <w:highlight w:val="none"/>
          <w:lang w:val="zh-CN"/>
        </w:rPr>
        <w:t>任何蒙牛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color w:val="000000"/>
          <w:sz w:val="24"/>
          <w:highlight w:val="none"/>
          <w:lang w:val="zh-CN"/>
        </w:rPr>
        <w:t>如若中选，</w:t>
      </w:r>
      <w:r>
        <w:rPr>
          <w:rFonts w:hint="eastAsia" w:ascii="仿宋" w:hAnsi="仿宋" w:eastAsia="仿宋" w:cs="仿宋"/>
          <w:color w:val="000000"/>
          <w:sz w:val="24"/>
          <w:highlight w:val="none"/>
        </w:rPr>
        <w:t>我公司</w:t>
      </w:r>
      <w:r>
        <w:rPr>
          <w:rFonts w:hint="eastAsia" w:ascii="仿宋" w:hAnsi="仿宋" w:eastAsia="仿宋" w:cs="仿宋"/>
          <w:color w:val="000000"/>
          <w:sz w:val="24"/>
          <w:highlight w:val="none"/>
          <w:lang w:val="zh-CN"/>
        </w:rPr>
        <w:t>相关服务团队</w:t>
      </w:r>
      <w:r>
        <w:rPr>
          <w:rFonts w:hint="eastAsia" w:ascii="仿宋" w:hAnsi="仿宋" w:eastAsia="仿宋" w:cs="仿宋"/>
          <w:color w:val="000000"/>
          <w:sz w:val="24"/>
          <w:highlight w:val="none"/>
        </w:rPr>
        <w:t>将不会</w:t>
      </w:r>
      <w:r>
        <w:rPr>
          <w:rFonts w:hint="eastAsia" w:ascii="仿宋" w:hAnsi="仿宋" w:eastAsia="仿宋" w:cs="仿宋"/>
          <w:color w:val="000000"/>
          <w:sz w:val="24"/>
          <w:highlight w:val="none"/>
          <w:lang w:val="zh-CN"/>
        </w:rPr>
        <w:t>招聘蒙牛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sz w:val="24"/>
          <w:highlight w:val="none"/>
        </w:rPr>
        <w:t>情况二：</w:t>
      </w:r>
      <w:r>
        <w:rPr>
          <w:rFonts w:hint="eastAsia" w:ascii="仿宋" w:hAnsi="仿宋" w:eastAsia="仿宋" w:cs="仿宋"/>
          <w:sz w:val="24"/>
          <w:highlight w:val="none"/>
        </w:rPr>
        <w:t>我公司员工</w:t>
      </w:r>
      <w:r>
        <w:rPr>
          <w:rFonts w:hint="eastAsia" w:ascii="仿宋" w:hAnsi="仿宋" w:eastAsia="仿宋" w:cs="仿宋"/>
          <w:i/>
          <w:color w:val="FF0000"/>
          <w:sz w:val="24"/>
          <w:highlight w:val="none"/>
          <w:u w:val="single"/>
        </w:rPr>
        <w:t>有（员工姓名：     ）/没有</w:t>
      </w:r>
      <w:r>
        <w:rPr>
          <w:rFonts w:hint="eastAsia" w:ascii="仿宋" w:hAnsi="仿宋" w:eastAsia="仿宋" w:cs="仿宋"/>
          <w:sz w:val="24"/>
          <w:highlight w:val="none"/>
        </w:rPr>
        <w:t>为</w:t>
      </w:r>
      <w:r>
        <w:rPr>
          <w:rFonts w:hint="eastAsia" w:ascii="仿宋" w:hAnsi="仿宋" w:eastAsia="仿宋" w:cs="仿宋"/>
          <w:color w:val="000000"/>
          <w:sz w:val="24"/>
          <w:highlight w:val="none"/>
          <w:lang w:val="zh-CN"/>
        </w:rPr>
        <w:t>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kern w:val="0"/>
          <w:sz w:val="24"/>
          <w:highlight w:val="none"/>
          <w:lang w:bidi="ar"/>
        </w:rPr>
        <w:t>或</w:t>
      </w:r>
      <w:r>
        <w:rPr>
          <w:rFonts w:hint="eastAsia" w:ascii="仿宋" w:hAnsi="仿宋" w:eastAsia="仿宋" w:cs="仿宋"/>
          <w:sz w:val="24"/>
          <w:highlight w:val="none"/>
        </w:rPr>
        <w:t>离职人员，经综合考量评估，该员工对于贵方组织的本次项目不存在任何利害关系。如若中选</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该员工将不会作为我公司</w:t>
      </w:r>
      <w:r>
        <w:rPr>
          <w:rFonts w:hint="eastAsia" w:ascii="仿宋" w:hAnsi="仿宋" w:eastAsia="仿宋" w:cs="仿宋"/>
          <w:color w:val="000000"/>
          <w:sz w:val="24"/>
          <w:highlight w:val="none"/>
          <w:lang w:val="zh-CN"/>
        </w:rPr>
        <w:t>服务团队</w:t>
      </w:r>
      <w:r>
        <w:rPr>
          <w:rFonts w:hint="eastAsia" w:ascii="仿宋" w:hAnsi="仿宋" w:eastAsia="仿宋" w:cs="仿宋"/>
          <w:color w:val="000000"/>
          <w:sz w:val="24"/>
          <w:highlight w:val="none"/>
        </w:rPr>
        <w:t>成员；合作期间如发现该员工</w:t>
      </w:r>
      <w:r>
        <w:rPr>
          <w:rFonts w:hint="eastAsia" w:ascii="仿宋" w:hAnsi="仿宋" w:eastAsia="仿宋" w:cs="仿宋"/>
          <w:sz w:val="24"/>
          <w:highlight w:val="none"/>
        </w:rPr>
        <w:t>以我公司名义与蒙牛集团进行相关业务往来，一经查实，我公司无条件接受蒙牛集团《阳光协议》中的相关处理条款。</w:t>
      </w:r>
    </w:p>
    <w:p w14:paraId="71377B36">
      <w:pPr>
        <w:tabs>
          <w:tab w:val="left" w:pos="1134"/>
        </w:tabs>
        <w:wordWrap w:val="0"/>
        <w:spacing w:line="360" w:lineRule="auto"/>
        <w:ind w:firstLine="480" w:firstLineChars="200"/>
        <w:rPr>
          <w:rFonts w:hint="eastAsia" w:ascii="仿宋" w:hAnsi="仿宋" w:eastAsia="仿宋" w:cs="仿宋"/>
          <w:sz w:val="24"/>
          <w:highlight w:val="none"/>
        </w:rPr>
      </w:pPr>
    </w:p>
    <w:p w14:paraId="787ECCBC">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33814DE5">
      <w:pPr>
        <w:wordWrap w:val="0"/>
        <w:spacing w:line="360" w:lineRule="auto"/>
        <w:ind w:firstLine="480" w:firstLineChars="200"/>
        <w:rPr>
          <w:rFonts w:hint="eastAsia" w:ascii="仿宋" w:hAnsi="仿宋" w:eastAsia="仿宋" w:cs="仿宋"/>
          <w:color w:val="000000"/>
          <w:sz w:val="24"/>
          <w:highlight w:val="none"/>
          <w:lang w:bidi="ar"/>
        </w:rPr>
      </w:pPr>
    </w:p>
    <w:p w14:paraId="02961EF0">
      <w:pPr>
        <w:wordWrap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542DA15F">
      <w:pPr>
        <w:wordWrap w:val="0"/>
        <w:spacing w:line="360" w:lineRule="auto"/>
        <w:ind w:firstLine="480" w:firstLineChars="200"/>
        <w:rPr>
          <w:rFonts w:hint="eastAsia"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6194F8F8">
      <w:pPr>
        <w:wordWrap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color w:val="000000"/>
          <w:sz w:val="24"/>
          <w:highlight w:val="none"/>
          <w:lang w:bidi="ar"/>
        </w:rPr>
        <w:t>日期：</w:t>
      </w:r>
      <w:r>
        <w:rPr>
          <w:rFonts w:hint="eastAsia" w:ascii="仿宋" w:hAnsi="仿宋" w:eastAsia="仿宋" w:cs="仿宋"/>
          <w:sz w:val="24"/>
          <w:highlight w:val="none"/>
          <w:lang w:bidi="ar"/>
        </w:rPr>
        <w:t xml:space="preserve"> </w:t>
      </w:r>
    </w:p>
    <w:p w14:paraId="2B203483">
      <w:pPr>
        <w:wordWrap w:val="0"/>
        <w:spacing w:line="360" w:lineRule="auto"/>
        <w:ind w:firstLine="480" w:firstLineChars="200"/>
        <w:rPr>
          <w:rFonts w:hint="eastAsia" w:ascii="仿宋" w:hAnsi="仿宋" w:eastAsia="仿宋" w:cs="仿宋"/>
          <w:sz w:val="24"/>
          <w:highlight w:val="none"/>
        </w:rPr>
      </w:pPr>
    </w:p>
    <w:p w14:paraId="23E63BF9">
      <w:pPr>
        <w:wordWrap w:val="0"/>
        <w:adjustRightInd w:val="0"/>
        <w:snapToGrid w:val="0"/>
        <w:spacing w:line="360" w:lineRule="auto"/>
        <w:ind w:firstLine="482" w:firstLineChars="200"/>
        <w:textAlignment w:val="baseline"/>
        <w:rPr>
          <w:rFonts w:hint="eastAsia" w:ascii="仿宋" w:hAnsi="仿宋" w:eastAsia="仿宋" w:cs="仿宋"/>
          <w:b/>
          <w:sz w:val="24"/>
          <w:highlight w:val="none"/>
        </w:rPr>
      </w:pPr>
    </w:p>
    <w:p w14:paraId="702F976F">
      <w:pPr>
        <w:wordWrap w:val="0"/>
        <w:adjustRightInd w:val="0"/>
        <w:snapToGrid w:val="0"/>
        <w:spacing w:line="360" w:lineRule="auto"/>
        <w:textAlignment w:val="baseline"/>
        <w:rPr>
          <w:rFonts w:hint="eastAsia" w:ascii="仿宋" w:hAnsi="仿宋" w:eastAsia="仿宋" w:cs="仿宋"/>
          <w:b/>
          <w:sz w:val="24"/>
          <w:highlight w:val="none"/>
        </w:rPr>
      </w:pPr>
    </w:p>
    <w:p w14:paraId="065C182A">
      <w:pPr>
        <w:wordWrap w:val="0"/>
        <w:adjustRightInd w:val="0"/>
        <w:snapToGrid w:val="0"/>
        <w:spacing w:line="360" w:lineRule="auto"/>
        <w:textAlignment w:val="baseline"/>
        <w:rPr>
          <w:rFonts w:hint="eastAsia" w:ascii="仿宋" w:hAnsi="仿宋" w:eastAsia="仿宋" w:cs="仿宋"/>
          <w:b/>
          <w:sz w:val="24"/>
          <w:highlight w:val="none"/>
        </w:rPr>
      </w:pPr>
    </w:p>
    <w:p w14:paraId="45D55BE5">
      <w:pPr>
        <w:wordWrap w:val="0"/>
        <w:adjustRightInd w:val="0"/>
        <w:snapToGrid w:val="0"/>
        <w:spacing w:line="360" w:lineRule="auto"/>
        <w:textAlignment w:val="baseline"/>
        <w:rPr>
          <w:rFonts w:hint="eastAsia" w:ascii="仿宋" w:hAnsi="仿宋" w:eastAsia="仿宋" w:cs="仿宋"/>
          <w:b/>
          <w:sz w:val="24"/>
          <w:highlight w:val="none"/>
        </w:rPr>
      </w:pPr>
    </w:p>
    <w:p w14:paraId="02BDC561">
      <w:pPr>
        <w:wordWrap w:val="0"/>
        <w:adjustRightInd w:val="0"/>
        <w:snapToGrid w:val="0"/>
        <w:spacing w:line="360" w:lineRule="auto"/>
        <w:textAlignment w:val="baseline"/>
        <w:rPr>
          <w:rFonts w:hint="eastAsia" w:ascii="仿宋" w:hAnsi="仿宋" w:eastAsia="仿宋" w:cs="仿宋"/>
          <w:b/>
          <w:sz w:val="24"/>
          <w:highlight w:val="none"/>
        </w:rPr>
      </w:pPr>
    </w:p>
    <w:p w14:paraId="194910D4">
      <w:pPr>
        <w:wordWrap w:val="0"/>
        <w:adjustRightInd w:val="0"/>
        <w:snapToGrid w:val="0"/>
        <w:spacing w:line="360" w:lineRule="auto"/>
        <w:textAlignment w:val="baseline"/>
        <w:rPr>
          <w:rFonts w:hint="eastAsia" w:ascii="仿宋" w:hAnsi="仿宋" w:eastAsia="仿宋" w:cs="仿宋"/>
          <w:b/>
          <w:sz w:val="24"/>
          <w:highlight w:val="none"/>
        </w:rPr>
      </w:pPr>
    </w:p>
    <w:p w14:paraId="500BC0DE">
      <w:pPr>
        <w:wordWrap w:val="0"/>
        <w:adjustRightInd w:val="0"/>
        <w:snapToGrid w:val="0"/>
        <w:spacing w:line="360" w:lineRule="auto"/>
        <w:textAlignment w:val="baseline"/>
        <w:rPr>
          <w:rFonts w:hint="eastAsia" w:ascii="仿宋" w:hAnsi="仿宋" w:eastAsia="仿宋" w:cs="仿宋"/>
          <w:b/>
          <w:sz w:val="24"/>
          <w:highlight w:val="none"/>
        </w:rPr>
      </w:pPr>
    </w:p>
    <w:p w14:paraId="59B30B38">
      <w:pPr>
        <w:wordWrap w:val="0"/>
        <w:adjustRightInd w:val="0"/>
        <w:snapToGrid w:val="0"/>
        <w:spacing w:line="360" w:lineRule="auto"/>
        <w:textAlignment w:val="baseline"/>
        <w:rPr>
          <w:rFonts w:hint="eastAsia" w:ascii="仿宋" w:hAnsi="仿宋" w:eastAsia="仿宋" w:cs="仿宋"/>
          <w:b/>
          <w:sz w:val="24"/>
          <w:highlight w:val="none"/>
        </w:rPr>
      </w:pPr>
    </w:p>
    <w:p w14:paraId="20E32575">
      <w:pPr>
        <w:wordWrap w:val="0"/>
        <w:adjustRightInd w:val="0"/>
        <w:snapToGrid w:val="0"/>
        <w:spacing w:line="360" w:lineRule="auto"/>
        <w:textAlignment w:val="baseline"/>
        <w:rPr>
          <w:rFonts w:hint="eastAsia" w:ascii="仿宋" w:hAnsi="仿宋" w:eastAsia="仿宋" w:cs="仿宋"/>
          <w:b/>
          <w:sz w:val="24"/>
          <w:highlight w:val="none"/>
        </w:rPr>
      </w:pPr>
    </w:p>
    <w:p w14:paraId="1BA3D952">
      <w:pPr>
        <w:wordWrap w:val="0"/>
        <w:adjustRightInd w:val="0"/>
        <w:snapToGrid w:val="0"/>
        <w:spacing w:line="360" w:lineRule="auto"/>
        <w:textAlignment w:val="baseline"/>
        <w:rPr>
          <w:rFonts w:hint="eastAsia" w:ascii="仿宋" w:hAnsi="仿宋" w:eastAsia="仿宋" w:cs="仿宋"/>
          <w:b/>
          <w:sz w:val="24"/>
          <w:highlight w:val="none"/>
        </w:rPr>
      </w:pPr>
      <w:r>
        <w:rPr>
          <w:rFonts w:hint="eastAsia" w:ascii="仿宋" w:hAnsi="仿宋" w:eastAsia="仿宋" w:cs="仿宋"/>
          <w:b/>
          <w:sz w:val="24"/>
          <w:highlight w:val="none"/>
        </w:rPr>
        <w:t>附件</w:t>
      </w:r>
      <w:r>
        <w:rPr>
          <w:rFonts w:ascii="仿宋" w:hAnsi="仿宋" w:eastAsia="仿宋" w:cs="仿宋"/>
          <w:b/>
          <w:sz w:val="24"/>
          <w:highlight w:val="none"/>
        </w:rPr>
        <w:t>5</w:t>
      </w:r>
      <w:r>
        <w:rPr>
          <w:rFonts w:hint="eastAsia" w:ascii="仿宋" w:hAnsi="仿宋" w:eastAsia="仿宋" w:cs="仿宋"/>
          <w:b/>
          <w:sz w:val="24"/>
          <w:highlight w:val="none"/>
        </w:rPr>
        <w:t>：</w:t>
      </w:r>
    </w:p>
    <w:p w14:paraId="77D4CF6A">
      <w:pPr>
        <w:wordWrap w:val="0"/>
        <w:adjustRightInd w:val="0"/>
        <w:snapToGrid w:val="0"/>
        <w:spacing w:line="360" w:lineRule="auto"/>
        <w:jc w:val="center"/>
        <w:textAlignment w:val="baseline"/>
        <w:rPr>
          <w:rFonts w:hint="eastAsia" w:ascii="仿宋_GB2312" w:hAnsi="黑体" w:eastAsia="仿宋_GB2312"/>
          <w:b/>
          <w:kern w:val="0"/>
          <w:sz w:val="24"/>
          <w:highlight w:val="none"/>
        </w:rPr>
      </w:pPr>
      <w:r>
        <w:rPr>
          <w:rFonts w:hint="eastAsia" w:ascii="仿宋_GB2312" w:hAnsi="黑体" w:eastAsia="仿宋_GB2312"/>
          <w:b/>
          <w:kern w:val="0"/>
          <w:sz w:val="24"/>
          <w:highlight w:val="none"/>
        </w:rPr>
        <w:t>阳光协议</w:t>
      </w:r>
    </w:p>
    <w:p w14:paraId="3A26114A">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甲方：内蒙古蒙牛乳业（集团）股份有限公司</w:t>
      </w:r>
    </w:p>
    <w:p w14:paraId="6172206B">
      <w:pPr>
        <w:wordWrap w:val="0"/>
        <w:spacing w:line="360" w:lineRule="auto"/>
        <w:rPr>
          <w:rFonts w:hint="eastAsia" w:ascii="仿宋_GB2312" w:hAnsi="宋体" w:eastAsia="仿宋_GB2312" w:cs="仿宋"/>
          <w:sz w:val="24"/>
          <w:highlight w:val="none"/>
        </w:rPr>
      </w:pPr>
      <w:r>
        <w:rPr>
          <w:rFonts w:hint="eastAsia" w:ascii="仿宋_GB2312" w:hAnsi="宋体" w:eastAsia="仿宋_GB2312" w:cs="仿宋"/>
          <w:sz w:val="24"/>
          <w:highlight w:val="none"/>
        </w:rPr>
        <w:t>乙方：</w:t>
      </w:r>
    </w:p>
    <w:p w14:paraId="72528F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一、基本原则</w:t>
      </w:r>
    </w:p>
    <w:p w14:paraId="06D69F9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甲乙双方均理解并愿意严格遵守中华人民共和国关于反商业贿赂的有关法律法规的规定，双方均理解任何形式的贿赂行为都将触犯法律，并受到法律的严惩。</w:t>
      </w:r>
    </w:p>
    <w:p w14:paraId="72B52AE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二、双方承诺</w:t>
      </w:r>
    </w:p>
    <w:p w14:paraId="2B3B27C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甲、乙双方应共同遵守以下承诺：</w:t>
      </w:r>
    </w:p>
    <w:p w14:paraId="1772952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1.坚守诚信原则，在合作过程中不以任何方式贿赂对方公司人员及其亲属、特定关系人，不发生舞弊、腐败、欺诈行为。</w:t>
      </w:r>
    </w:p>
    <w:p w14:paraId="21D0BD0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2.在执行业务合作中，双方均不得采用隐瞒、欺骗等手段侵占另一方财物，或损害另一方其他合法利益。</w:t>
      </w:r>
    </w:p>
    <w:p w14:paraId="5FF18B4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三、双方权利和义务</w:t>
      </w:r>
    </w:p>
    <w:p w14:paraId="60691F3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（一）甲方权利、义务</w:t>
      </w:r>
    </w:p>
    <w:p w14:paraId="3BDFE23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2.被甲方列入黑名单中的公司法定代表人、监事、出资人、联系人、业务对接人，在其他公司担任法人或类似职务或充当类似身份的，该公司视为已被列入黑名单。</w:t>
      </w:r>
    </w:p>
    <w:p w14:paraId="7DF3562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举报电话：0471-7393612</w:t>
      </w:r>
    </w:p>
    <w:p w14:paraId="1BC825F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_GB2312" w:hAnsi="宋体" w:eastAsia="仿宋_GB2312" w:cs="仿宋"/>
          <w:sz w:val="24"/>
          <w:highlight w:val="none"/>
        </w:rPr>
        <w:t>mnjw@mengniu.cn</w:t>
      </w:r>
      <w:r>
        <w:rPr>
          <w:rFonts w:hint="eastAsia" w:ascii="仿宋_GB2312" w:hAnsi="宋体" w:eastAsia="仿宋_GB2312" w:cs="仿宋"/>
          <w:sz w:val="24"/>
          <w:highlight w:val="none"/>
        </w:rPr>
        <w:fldChar w:fldCharType="end"/>
      </w:r>
    </w:p>
    <w:p w14:paraId="6866654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邮寄地址：内蒙古呼和浩特市和林格尔盛乐经济园区蒙牛乳业奶源楼311室 纪委办公室（收）</w:t>
      </w:r>
    </w:p>
    <w:p w14:paraId="3B49279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邮政编码：011517</w:t>
      </w:r>
    </w:p>
    <w:p w14:paraId="0081C0C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（二）乙方权利、义务</w:t>
      </w:r>
    </w:p>
    <w:p w14:paraId="0CCD46B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1.若甲方员工存在违反本协议所规定行为的，乙方有权拒绝并有义务向甲方进行举报。</w:t>
      </w:r>
    </w:p>
    <w:p w14:paraId="3A1FC68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2.乙方保证，在投标过程中，不发生以下行为：</w:t>
      </w:r>
    </w:p>
    <w:p w14:paraId="701131A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（1）乙方在投标中存在提供虚假材料，欺骗中标；</w:t>
      </w:r>
    </w:p>
    <w:p w14:paraId="5EA9CF3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（2）乙方在投标时存在围标串标；</w:t>
      </w:r>
    </w:p>
    <w:p w14:paraId="337E85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（3）乙方在投标时贿赂、拉拢甲方人员；</w:t>
      </w:r>
    </w:p>
    <w:p w14:paraId="17D8805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（4）其他违反招投标相关规定的行为。</w:t>
      </w:r>
    </w:p>
    <w:p w14:paraId="67C0A58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3.乙方保证，在合作过程中，乙方的管理人员、股东、项目对接人员与甲方项目有关的管理人员或项目对接人员不存在亲属关系、共同利益关系。</w:t>
      </w:r>
    </w:p>
    <w:p w14:paraId="649B2C05">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4.乙方保证，在双方合作过程中，未接受甲方离职二年内的管理人员和关键业务人员在其公司参股、控股或任职。</w:t>
      </w:r>
    </w:p>
    <w:p w14:paraId="2FF49EF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5.乙方保证，在合作过程中，乙方（含利益关联方）不得在甲方管理人员和关键业务人员的亲属（含特定关系人）的利益关联公司入股或发生有关业务。</w:t>
      </w:r>
    </w:p>
    <w:p w14:paraId="56828FA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6.乙方不得与甲方人员发生任何形式的财物往来，期间包括但不限于合同履约期间。</w:t>
      </w:r>
    </w:p>
    <w:p w14:paraId="69CE603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7.若甲乙双方依照行业惯例或通常做法，可能发生商务性、礼节性的小额礼品互赠，则须在合同中明示，但每一年度累计金额不得超过1000元。</w:t>
      </w:r>
    </w:p>
    <w:p w14:paraId="2D4E4107">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（三）双方共同义务</w:t>
      </w:r>
    </w:p>
    <w:p w14:paraId="2E21669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甲乙双方有关人员的商业贿赂行为构成犯罪并移交司法机关处理的，合同各方应积极配合司法机关的处理。</w:t>
      </w:r>
    </w:p>
    <w:p w14:paraId="526A49EF">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四、违约责任</w:t>
      </w:r>
    </w:p>
    <w:p w14:paraId="52A338CE">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乙方违反本协议约定，拒不履行相关义务的，视为乙方违约。</w:t>
      </w:r>
    </w:p>
    <w:p w14:paraId="5AC70EA7">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（1）按主合同总价款的20%支付违约金。</w:t>
      </w:r>
    </w:p>
    <w:p w14:paraId="5B42B1AC">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（2）无主合同总价款的按照已发生业务总额的20%支付违约金；无主合同总价款且暂未发生业务的，扣除合同履约保证金。</w:t>
      </w:r>
    </w:p>
    <w:p w14:paraId="28A6FCAF">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（3）因主合同解除造成甲方其他损失的，按照主合同约定赔偿损失。</w:t>
      </w:r>
    </w:p>
    <w:p w14:paraId="2938A05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（4）如乙方未按约定支付违约金，乙方同意并认可使用保证金、预付款、应付款等款项冲抵违约金。</w:t>
      </w:r>
    </w:p>
    <w:p w14:paraId="7C6AF5A0">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（5）若乙方积极配合查处接受商业贿赂人员的，甲方可减少或免除相对应的违约金。</w:t>
      </w:r>
    </w:p>
    <w:p w14:paraId="2E5DEFC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上述责任承担方式可单独适用，也可合并适用。</w:t>
      </w:r>
    </w:p>
    <w:p w14:paraId="64C4EB2D">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 xml:space="preserve">五、协议的生效、变更或解除 </w:t>
      </w:r>
    </w:p>
    <w:p w14:paraId="717F128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1.本协议为主合同的补充内容，与主合同具有同样的法律效力。</w:t>
      </w:r>
    </w:p>
    <w:p w14:paraId="32F6EEE8">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2.本协议及主合同终止，本协议仍具有追溯相关责任的法律效力。</w:t>
      </w:r>
    </w:p>
    <w:p w14:paraId="46380BBA">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 xml:space="preserve">3.本协议的生效日期：自甲乙双方签字盖章之日起生效。 </w:t>
      </w:r>
    </w:p>
    <w:p w14:paraId="6F26C96A">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六、争议解决条款</w:t>
      </w:r>
    </w:p>
    <w:p w14:paraId="3E09E876">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因履行本协议发生的任何纠纷，双方协商解决；如协商不成时，争议解决方式与主合同一致。</w:t>
      </w:r>
    </w:p>
    <w:p w14:paraId="1D27C193">
      <w:pPr>
        <w:wordWrap w:val="0"/>
        <w:spacing w:line="360" w:lineRule="auto"/>
        <w:ind w:firstLine="480" w:firstLineChars="200"/>
        <w:rPr>
          <w:rFonts w:hint="eastAsia" w:ascii="仿宋_GB2312" w:hAnsi="宋体" w:eastAsia="仿宋_GB2312" w:cs="仿宋"/>
          <w:sz w:val="24"/>
          <w:highlight w:val="none"/>
          <w:lang w:eastAsia="zh-Hans"/>
        </w:rPr>
      </w:pPr>
      <w:r>
        <w:rPr>
          <w:rFonts w:hint="eastAsia" w:ascii="仿宋_GB2312" w:hAnsi="宋体" w:eastAsia="仿宋_GB2312" w:cs="仿宋"/>
          <w:sz w:val="24"/>
          <w:highlight w:val="none"/>
          <w:lang w:eastAsia="zh-Hans"/>
        </w:rPr>
        <w:t>七、其他</w:t>
      </w:r>
    </w:p>
    <w:p w14:paraId="1939DB8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1.甲乙双方确认在签订本协议前已仔细阅读上述条款内容，对本协议所产生的法律责任已清楚知悉并承诺遵守。</w:t>
      </w:r>
    </w:p>
    <w:p w14:paraId="5BA87E12">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2.本协议签订及甲乙双方各自持有份数均与主合同份数保持一致。</w:t>
      </w:r>
    </w:p>
    <w:p w14:paraId="69F96E2D">
      <w:pPr>
        <w:wordWrap w:val="0"/>
        <w:spacing w:line="360" w:lineRule="auto"/>
        <w:ind w:firstLine="480" w:firstLineChars="200"/>
        <w:rPr>
          <w:rFonts w:hint="eastAsia" w:ascii="仿宋_GB2312" w:hAnsi="宋体" w:eastAsia="仿宋_GB2312" w:cs="仿宋"/>
          <w:sz w:val="24"/>
          <w:highlight w:val="none"/>
        </w:rPr>
      </w:pPr>
      <w:r>
        <w:rPr>
          <w:rFonts w:hint="eastAsia" w:ascii="仿宋_GB2312" w:hAnsi="宋体" w:eastAsia="仿宋_GB2312" w:cs="仿宋"/>
          <w:sz w:val="24"/>
          <w:highlight w:val="none"/>
        </w:rPr>
        <w:t>（以下无正文）</w:t>
      </w:r>
    </w:p>
    <w:p w14:paraId="210494EF">
      <w:pPr>
        <w:wordWrap w:val="0"/>
        <w:spacing w:line="360" w:lineRule="auto"/>
        <w:ind w:firstLine="480" w:firstLineChars="200"/>
        <w:rPr>
          <w:rFonts w:hint="eastAsia" w:ascii="仿宋_GB2312" w:hAnsi="宋体" w:eastAsia="仿宋_GB2312" w:cs="仿宋"/>
          <w:sz w:val="24"/>
          <w:highlight w:val="none"/>
        </w:rPr>
      </w:pPr>
    </w:p>
    <w:p w14:paraId="47D24D7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乙方（承诺方）：（盖章）</w:t>
      </w:r>
    </w:p>
    <w:p w14:paraId="539FB0C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69F2DAB8">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r>
        <w:rPr>
          <w:rFonts w:hint="eastAsia" w:ascii="仿宋" w:hAnsi="仿宋" w:eastAsia="仿宋" w:cs="仿宋"/>
          <w:color w:val="FF0000"/>
          <w:kern w:val="0"/>
          <w:sz w:val="24"/>
          <w:highlight w:val="none"/>
        </w:rPr>
        <w:t>（签字或印章）</w:t>
      </w:r>
    </w:p>
    <w:p w14:paraId="0DA58607">
      <w:pPr>
        <w:wordWrap w:val="0"/>
        <w:adjustRightInd w:val="0"/>
        <w:snapToGrid w:val="0"/>
        <w:spacing w:line="360" w:lineRule="auto"/>
        <w:ind w:firstLine="480" w:firstLineChars="200"/>
        <w:textAlignment w:val="baseline"/>
        <w:rPr>
          <w:rFonts w:hint="eastAsia" w:ascii="仿宋" w:hAnsi="仿宋" w:eastAsia="仿宋" w:cs="仿宋"/>
          <w:color w:val="000000"/>
          <w:kern w:val="0"/>
          <w:sz w:val="24"/>
          <w:highlight w:val="none"/>
        </w:rPr>
      </w:pPr>
    </w:p>
    <w:p w14:paraId="0FB7C405">
      <w:pPr>
        <w:wordWrap w:val="0"/>
        <w:adjustRightInd w:val="0"/>
        <w:snapToGrid w:val="0"/>
        <w:spacing w:line="360" w:lineRule="auto"/>
        <w:ind w:firstLine="480" w:firstLineChars="200"/>
        <w:textAlignment w:val="baseline"/>
        <w:rPr>
          <w:rFonts w:hint="eastAsia" w:ascii="仿宋" w:hAnsi="仿宋" w:eastAsia="仿宋" w:cs="仿宋"/>
          <w:sz w:val="24"/>
          <w:highlight w:val="none"/>
        </w:rPr>
      </w:pPr>
      <w:r>
        <w:rPr>
          <w:rFonts w:hint="eastAsia" w:ascii="仿宋" w:hAnsi="仿宋" w:eastAsia="仿宋" w:cs="仿宋"/>
          <w:color w:val="000000"/>
          <w:kern w:val="0"/>
          <w:sz w:val="24"/>
          <w:highlight w:val="none"/>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C8C90"/>
    <w:multiLevelType w:val="singleLevel"/>
    <w:tmpl w:val="392C8C9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05402"/>
    <w:rsid w:val="00027582"/>
    <w:rsid w:val="00041706"/>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0022E"/>
    <w:rsid w:val="00412334"/>
    <w:rsid w:val="00430C89"/>
    <w:rsid w:val="00435602"/>
    <w:rsid w:val="00456B20"/>
    <w:rsid w:val="0046226F"/>
    <w:rsid w:val="004779FD"/>
    <w:rsid w:val="00484E2C"/>
    <w:rsid w:val="00496F6A"/>
    <w:rsid w:val="004A4E05"/>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50AA5"/>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37E9"/>
    <w:rsid w:val="00AF4C9E"/>
    <w:rsid w:val="00B26923"/>
    <w:rsid w:val="00B425CA"/>
    <w:rsid w:val="00B66B6B"/>
    <w:rsid w:val="00B91BEC"/>
    <w:rsid w:val="00B93FA0"/>
    <w:rsid w:val="00BB0795"/>
    <w:rsid w:val="00BC473E"/>
    <w:rsid w:val="00C13723"/>
    <w:rsid w:val="00C45631"/>
    <w:rsid w:val="00CA7385"/>
    <w:rsid w:val="00CC3F84"/>
    <w:rsid w:val="00D048EF"/>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2E44E6C"/>
    <w:rsid w:val="03951A78"/>
    <w:rsid w:val="052851DF"/>
    <w:rsid w:val="053A4F12"/>
    <w:rsid w:val="05DE522C"/>
    <w:rsid w:val="0624290B"/>
    <w:rsid w:val="06AB60C8"/>
    <w:rsid w:val="06E96BF0"/>
    <w:rsid w:val="07571D2F"/>
    <w:rsid w:val="084F00A4"/>
    <w:rsid w:val="090366FA"/>
    <w:rsid w:val="09616F12"/>
    <w:rsid w:val="0B8909A2"/>
    <w:rsid w:val="0BE91440"/>
    <w:rsid w:val="0E78103B"/>
    <w:rsid w:val="0E9438E5"/>
    <w:rsid w:val="0EA8185F"/>
    <w:rsid w:val="0FC65D20"/>
    <w:rsid w:val="11ED4E80"/>
    <w:rsid w:val="12DC35D3"/>
    <w:rsid w:val="1337349C"/>
    <w:rsid w:val="135E44C2"/>
    <w:rsid w:val="137000F1"/>
    <w:rsid w:val="14BD7487"/>
    <w:rsid w:val="16200000"/>
    <w:rsid w:val="184B21C1"/>
    <w:rsid w:val="1A7A4433"/>
    <w:rsid w:val="1BFC49DC"/>
    <w:rsid w:val="1C4A1A87"/>
    <w:rsid w:val="1C9126AD"/>
    <w:rsid w:val="1D247B6C"/>
    <w:rsid w:val="1E1E4F79"/>
    <w:rsid w:val="1FD55B0C"/>
    <w:rsid w:val="2252728E"/>
    <w:rsid w:val="23BC0A55"/>
    <w:rsid w:val="2443573A"/>
    <w:rsid w:val="25C66622"/>
    <w:rsid w:val="274E4B21"/>
    <w:rsid w:val="2778394C"/>
    <w:rsid w:val="28164083"/>
    <w:rsid w:val="288216BD"/>
    <w:rsid w:val="28F23FF4"/>
    <w:rsid w:val="2A9A140D"/>
    <w:rsid w:val="2B142F9F"/>
    <w:rsid w:val="2BE94764"/>
    <w:rsid w:val="2DC218B7"/>
    <w:rsid w:val="2E923061"/>
    <w:rsid w:val="30E71E76"/>
    <w:rsid w:val="31B4786F"/>
    <w:rsid w:val="31E3411E"/>
    <w:rsid w:val="33B46109"/>
    <w:rsid w:val="345D7DC5"/>
    <w:rsid w:val="35D26A97"/>
    <w:rsid w:val="35E328D9"/>
    <w:rsid w:val="36A52284"/>
    <w:rsid w:val="36F04374"/>
    <w:rsid w:val="37B31C60"/>
    <w:rsid w:val="37CD65F1"/>
    <w:rsid w:val="38F43DFA"/>
    <w:rsid w:val="3ABB2076"/>
    <w:rsid w:val="3C730015"/>
    <w:rsid w:val="3C90308E"/>
    <w:rsid w:val="3FC4377B"/>
    <w:rsid w:val="401144E6"/>
    <w:rsid w:val="422863B6"/>
    <w:rsid w:val="44DC50C3"/>
    <w:rsid w:val="45886FF9"/>
    <w:rsid w:val="4A40356A"/>
    <w:rsid w:val="4DFC67D6"/>
    <w:rsid w:val="504D3319"/>
    <w:rsid w:val="50C377B8"/>
    <w:rsid w:val="53651C00"/>
    <w:rsid w:val="56CD0D0F"/>
    <w:rsid w:val="56F21A96"/>
    <w:rsid w:val="57205573"/>
    <w:rsid w:val="5847364F"/>
    <w:rsid w:val="588B2C30"/>
    <w:rsid w:val="58914855"/>
    <w:rsid w:val="58AB6E2E"/>
    <w:rsid w:val="59653481"/>
    <w:rsid w:val="5D290C69"/>
    <w:rsid w:val="5F747FA2"/>
    <w:rsid w:val="5F82060E"/>
    <w:rsid w:val="614E39D9"/>
    <w:rsid w:val="61774699"/>
    <w:rsid w:val="61C827FF"/>
    <w:rsid w:val="62746E43"/>
    <w:rsid w:val="62905DD6"/>
    <w:rsid w:val="62E93375"/>
    <w:rsid w:val="62EC180C"/>
    <w:rsid w:val="636A043A"/>
    <w:rsid w:val="63C76C83"/>
    <w:rsid w:val="684D0511"/>
    <w:rsid w:val="689478DF"/>
    <w:rsid w:val="69106C2A"/>
    <w:rsid w:val="6B623CC4"/>
    <w:rsid w:val="6C613F7C"/>
    <w:rsid w:val="6ED24CBD"/>
    <w:rsid w:val="6EEB354F"/>
    <w:rsid w:val="72655E48"/>
    <w:rsid w:val="743106D8"/>
    <w:rsid w:val="74EE0377"/>
    <w:rsid w:val="754E0E15"/>
    <w:rsid w:val="75607F8B"/>
    <w:rsid w:val="76E15842"/>
    <w:rsid w:val="771D4F43"/>
    <w:rsid w:val="77832278"/>
    <w:rsid w:val="7855070D"/>
    <w:rsid w:val="78884E2F"/>
    <w:rsid w:val="7B0F0382"/>
    <w:rsid w:val="7BC25B09"/>
    <w:rsid w:val="7C014E34"/>
    <w:rsid w:val="7E5971A9"/>
    <w:rsid w:val="7E9E2B22"/>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qFormat/>
    <w:uiPriority w:val="0"/>
    <w:rPr>
      <w:color w:val="0000FF"/>
      <w:u w:val="none"/>
    </w:rPr>
  </w:style>
  <w:style w:type="character" w:customStyle="1" w:styleId="18">
    <w:name w:val="页眉 字符"/>
    <w:basedOn w:val="15"/>
    <w:link w:val="9"/>
    <w:qFormat/>
    <w:uiPriority w:val="99"/>
    <w:rPr>
      <w:sz w:val="18"/>
      <w:szCs w:val="18"/>
    </w:rPr>
  </w:style>
  <w:style w:type="character" w:customStyle="1" w:styleId="19">
    <w:name w:val="页脚 字符"/>
    <w:basedOn w:val="15"/>
    <w:link w:val="8"/>
    <w:qFormat/>
    <w:uiPriority w:val="99"/>
    <w:rPr>
      <w:sz w:val="18"/>
      <w:szCs w:val="18"/>
    </w:rPr>
  </w:style>
  <w:style w:type="character" w:customStyle="1" w:styleId="20">
    <w:name w:val="批注框文本 字符"/>
    <w:basedOn w:val="15"/>
    <w:link w:val="7"/>
    <w:semiHidden/>
    <w:qFormat/>
    <w:uiPriority w:val="99"/>
    <w:rPr>
      <w:rFonts w:ascii="Times New Roman" w:hAnsi="Times New Roman" w:eastAsia="宋体" w:cs="Times New Roman"/>
      <w:kern w:val="2"/>
      <w:sz w:val="18"/>
      <w:szCs w:val="18"/>
    </w:rPr>
  </w:style>
  <w:style w:type="paragraph" w:styleId="21">
    <w:name w:val="List Paragraph"/>
    <w:basedOn w:val="1"/>
    <w:qFormat/>
    <w:uiPriority w:val="34"/>
    <w:pPr>
      <w:ind w:firstLine="420" w:firstLineChars="200"/>
    </w:p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5229</Words>
  <Characters>5654</Characters>
  <Lines>576</Lines>
  <Paragraphs>591</Paragraphs>
  <TotalTime>8</TotalTime>
  <ScaleCrop>false</ScaleCrop>
  <LinksUpToDate>false</LinksUpToDate>
  <CharactersWithSpaces>6125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AA  superman</cp:lastModifiedBy>
  <dcterms:modified xsi:type="dcterms:W3CDTF">2025-07-07T10:02:00Z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05AA2150B9FB4C9397139DE31E10AD0F</vt:lpwstr>
  </property>
  <property fmtid="{D5CDD505-2E9C-101B-9397-08002B2CF9AE}" pid="4" name="KSOTemplateDocerSaveRecord">
    <vt:lpwstr>eyJoZGlkIjoiZGRhMjg3MjA3Y2MxMGU1ZmRhMGY2ZjQyOTM2NTJhODgiLCJ1c2VySWQiOiIzMjg5NTMyMzAifQ==</vt:lpwstr>
  </property>
</Properties>
</file>