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0D5E">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rPr>
        <w:t>2025年</w:t>
      </w:r>
      <w:r>
        <w:rPr>
          <w:rFonts w:hint="eastAsia" w:ascii="仿宋" w:hAnsi="仿宋" w:eastAsia="仿宋" w:cs="仿宋"/>
          <w:b/>
          <w:bCs/>
          <w:kern w:val="0"/>
          <w:sz w:val="36"/>
          <w:szCs w:val="36"/>
          <w:highlight w:val="none"/>
          <w:lang w:val="en-US" w:eastAsia="zh-CN"/>
        </w:rPr>
        <w:t>8月</w:t>
      </w:r>
      <w:r>
        <w:rPr>
          <w:rFonts w:hint="eastAsia" w:ascii="仿宋" w:hAnsi="仿宋" w:eastAsia="仿宋" w:cs="仿宋"/>
          <w:b/>
          <w:bCs/>
          <w:kern w:val="0"/>
          <w:sz w:val="36"/>
          <w:szCs w:val="36"/>
          <w:highlight w:val="none"/>
        </w:rPr>
        <w:t>全球研发</w:t>
      </w:r>
      <w:r>
        <w:rPr>
          <w:rFonts w:hint="eastAsia" w:ascii="仿宋" w:hAnsi="仿宋" w:eastAsia="仿宋" w:cs="仿宋"/>
          <w:b/>
          <w:bCs/>
          <w:kern w:val="0"/>
          <w:sz w:val="36"/>
          <w:szCs w:val="36"/>
          <w:highlight w:val="none"/>
          <w:lang w:val="en-US" w:eastAsia="zh-CN"/>
        </w:rPr>
        <w:t>中心</w:t>
      </w:r>
      <w:r>
        <w:rPr>
          <w:rFonts w:hint="eastAsia" w:ascii="仿宋" w:hAnsi="仿宋" w:eastAsia="仿宋" w:cs="仿宋"/>
          <w:b/>
          <w:bCs/>
          <w:kern w:val="0"/>
          <w:sz w:val="36"/>
          <w:szCs w:val="36"/>
          <w:highlight w:val="none"/>
        </w:rPr>
        <w:t>和常温研发</w:t>
      </w:r>
      <w:r>
        <w:rPr>
          <w:rFonts w:hint="eastAsia" w:ascii="仿宋" w:hAnsi="仿宋" w:eastAsia="仿宋" w:cs="仿宋"/>
          <w:b/>
          <w:bCs/>
          <w:kern w:val="0"/>
          <w:sz w:val="36"/>
          <w:szCs w:val="36"/>
          <w:highlight w:val="none"/>
          <w:lang w:val="en-US" w:eastAsia="zh-CN"/>
        </w:rPr>
        <w:t>中心</w:t>
      </w:r>
    </w:p>
    <w:p w14:paraId="0E108AB3">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FF0000"/>
          <w:kern w:val="0"/>
          <w:sz w:val="36"/>
          <w:szCs w:val="36"/>
          <w:highlight w:val="none"/>
        </w:rPr>
      </w:pPr>
      <w:r>
        <w:rPr>
          <w:rFonts w:hint="eastAsia" w:ascii="仿宋" w:hAnsi="仿宋" w:eastAsia="仿宋" w:cs="仿宋"/>
          <w:b/>
          <w:bCs/>
          <w:kern w:val="0"/>
          <w:sz w:val="36"/>
          <w:szCs w:val="36"/>
          <w:highlight w:val="none"/>
        </w:rPr>
        <w:t>设备</w:t>
      </w:r>
      <w:r>
        <w:rPr>
          <w:rFonts w:hint="eastAsia" w:ascii="仿宋" w:hAnsi="仿宋" w:eastAsia="仿宋" w:cs="仿宋"/>
          <w:b/>
          <w:bCs/>
          <w:kern w:val="0"/>
          <w:sz w:val="36"/>
          <w:szCs w:val="36"/>
          <w:highlight w:val="none"/>
          <w:lang w:val="en-US" w:eastAsia="zh-CN"/>
        </w:rPr>
        <w:t>采购项目</w:t>
      </w:r>
      <w:r>
        <w:rPr>
          <w:rFonts w:hint="eastAsia" w:ascii="仿宋" w:hAnsi="仿宋" w:eastAsia="仿宋" w:cs="仿宋"/>
          <w:b/>
          <w:bCs/>
          <w:kern w:val="0"/>
          <w:sz w:val="36"/>
          <w:szCs w:val="36"/>
          <w:highlight w:val="none"/>
        </w:rPr>
        <w:t>竞争性谈判信息公告</w:t>
      </w:r>
    </w:p>
    <w:p w14:paraId="1969905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rPr>
        <w:t>内蒙古华晟工程项目管理有限公司受内蒙古蒙牛乳业(集团)股份有限公司委托</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现就</w:t>
      </w:r>
      <w:r>
        <w:rPr>
          <w:rFonts w:hint="eastAsia" w:ascii="仿宋" w:hAnsi="仿宋" w:eastAsia="仿宋" w:cs="仿宋"/>
          <w:sz w:val="28"/>
          <w:szCs w:val="28"/>
          <w:highlight w:val="none"/>
          <w:u w:val="none"/>
        </w:rPr>
        <w:t>2025年8月全球研发中心和常温研发中心设备竞争性谈判采购项目</w:t>
      </w:r>
      <w:r>
        <w:rPr>
          <w:rFonts w:hint="eastAsia" w:ascii="仿宋" w:hAnsi="仿宋" w:eastAsia="仿宋" w:cs="仿宋"/>
          <w:b w:val="0"/>
          <w:bCs w:val="0"/>
          <w:i w:val="0"/>
          <w:iCs w:val="0"/>
          <w:color w:val="auto"/>
          <w:sz w:val="28"/>
          <w:szCs w:val="28"/>
          <w:highlight w:val="none"/>
        </w:rPr>
        <w:t>进行竞争性谈判,欢迎符合资格条件的供应商参加。</w:t>
      </w:r>
    </w:p>
    <w:p w14:paraId="067165F6">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val="0"/>
          <w:bCs/>
          <w:i w:val="0"/>
          <w:iCs w:val="0"/>
          <w:color w:val="auto"/>
          <w:sz w:val="28"/>
          <w:szCs w:val="28"/>
          <w:highlight w:val="none"/>
        </w:rPr>
      </w:pPr>
      <w:r>
        <w:rPr>
          <w:rFonts w:hint="eastAsia" w:ascii="仿宋" w:hAnsi="仿宋" w:eastAsia="仿宋" w:cs="仿宋"/>
          <w:b/>
          <w:sz w:val="28"/>
          <w:szCs w:val="28"/>
          <w:highlight w:val="none"/>
        </w:rPr>
        <w:t>一、项目编号：</w:t>
      </w:r>
      <w:r>
        <w:rPr>
          <w:rFonts w:hint="eastAsia" w:ascii="仿宋" w:hAnsi="仿宋" w:eastAsia="仿宋" w:cs="仿宋"/>
          <w:b w:val="0"/>
          <w:bCs/>
          <w:sz w:val="28"/>
          <w:szCs w:val="28"/>
          <w:highlight w:val="none"/>
        </w:rPr>
        <w:t>MNWTD-20250808-0003</w:t>
      </w:r>
    </w:p>
    <w:p w14:paraId="74B7EEC9">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：2025年8月全球研发中心和常温研发中心设备竞争性谈判采购项目</w:t>
      </w:r>
    </w:p>
    <w:p w14:paraId="0F9B7843">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三、项目概况：</w:t>
      </w:r>
      <w:r>
        <w:rPr>
          <w:rFonts w:hint="eastAsia" w:ascii="仿宋" w:hAnsi="仿宋" w:eastAsia="仿宋" w:cs="仿宋"/>
          <w:sz w:val="28"/>
          <w:szCs w:val="28"/>
          <w:highlight w:val="none"/>
          <w:lang w:val="en-US" w:eastAsia="zh-CN"/>
        </w:rPr>
        <w:t>基于全球研发创新中心和常温产品研发中心的科研项目需求，通过竞争性谈判采购研发设备，保障科研项目顺利进行。</w:t>
      </w:r>
    </w:p>
    <w:p w14:paraId="2B3F141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本项目分为三个标段：共涉及12台设备</w:t>
      </w:r>
      <w:bookmarkStart w:id="0" w:name="_GoBack"/>
      <w:bookmarkEnd w:id="0"/>
    </w:p>
    <w:p w14:paraId="056188F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标段一：检测设备5台</w:t>
      </w:r>
    </w:p>
    <w:tbl>
      <w:tblPr>
        <w:tblStyle w:val="11"/>
        <w:tblW w:w="9591" w:type="dxa"/>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1600"/>
        <w:gridCol w:w="3670"/>
        <w:gridCol w:w="1071"/>
        <w:gridCol w:w="1506"/>
        <w:gridCol w:w="908"/>
      </w:tblGrid>
      <w:tr w14:paraId="42FC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3DFF">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614A">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需求名称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1B5D">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目的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D8CB">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数量（台）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CAD3">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auto"/>
                <w:sz w:val="28"/>
                <w:szCs w:val="28"/>
                <w:highlight w:val="none"/>
                <w:u w:val="none"/>
              </w:rPr>
            </w:pPr>
            <w:r>
              <w:rPr>
                <w:rStyle w:val="21"/>
                <w:rFonts w:hint="eastAsia" w:ascii="仿宋" w:hAnsi="仿宋" w:eastAsia="仿宋" w:cs="仿宋"/>
                <w:b/>
                <w:bCs/>
                <w:color w:val="auto"/>
                <w:sz w:val="28"/>
                <w:szCs w:val="28"/>
                <w:highlight w:val="none"/>
                <w:lang w:val="en-US" w:eastAsia="zh-CN" w:bidi="ar"/>
              </w:rPr>
              <w:t>进口or国产</w:t>
            </w:r>
            <w:r>
              <w:rPr>
                <w:rStyle w:val="22"/>
                <w:rFonts w:hint="eastAsia" w:ascii="仿宋" w:hAnsi="仿宋" w:eastAsia="仿宋" w:cs="仿宋"/>
                <w:b/>
                <w:bCs/>
                <w:color w:val="auto"/>
                <w:sz w:val="28"/>
                <w:szCs w:val="28"/>
                <w:highlight w:val="none"/>
                <w:lang w:val="en-US" w:eastAsia="zh-CN" w:bidi="ar"/>
              </w:rPr>
              <w:t>（品牌）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F533">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标段</w:t>
            </w:r>
          </w:p>
        </w:tc>
      </w:tr>
      <w:tr w14:paraId="1409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89D6">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1C0C">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澄清型管式离心机</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7972">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含固相物料小于1%的悬浮液分离</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AF8B">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2F8C">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国产</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9BF">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检测设备</w:t>
            </w:r>
          </w:p>
        </w:tc>
      </w:tr>
      <w:tr w14:paraId="4ACE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D7EB">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6977">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激光粒度仪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C11D">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固体、液体粒径分析，保证产品稳定</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07E">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F81E">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进口</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37BA">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检测设备</w:t>
            </w:r>
          </w:p>
        </w:tc>
      </w:tr>
      <w:tr w14:paraId="5E39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708">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ABDE">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高效液相色谱分析仪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14A2">
            <w:pPr>
              <w:keepNext w:val="0"/>
              <w:keepLines w:val="0"/>
              <w:pageBreakBefore w:val="0"/>
              <w:widowControl/>
              <w:numPr>
                <w:ilvl w:val="0"/>
                <w:numId w:val="1"/>
              </w:numPr>
              <w:suppressLineNumbers w:val="0"/>
              <w:kinsoku/>
              <w:wordWrap/>
              <w:topLinePunct w:val="0"/>
              <w:bidi w:val="0"/>
              <w:jc w:val="left"/>
              <w:textAlignment w:val="center"/>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主要使用紫外和二极管阵列（用于确定蛋白、肽，并能够进行三维谱图的测量）、示差确定器可以作为糖分析、蒸发光检测器可以进行天然产物提取物或脂质分析，蒸发光检测器可以进行合成生物中有激发波长和发射波长的物质确定；</w:t>
            </w:r>
          </w:p>
          <w:p w14:paraId="6059257C">
            <w:pPr>
              <w:keepNext w:val="0"/>
              <w:keepLines w:val="0"/>
              <w:pageBreakBefore w:val="0"/>
              <w:widowControl/>
              <w:numPr>
                <w:ilvl w:val="0"/>
                <w:numId w:val="1"/>
              </w:numPr>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在带分析软件的基础上具备肽分子量分布测定的GPC软件可以确定发酵及水解过程中蛋白肽的分子量的分布情况分析，确定产品水解程度及产品的稳定性；</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19D1">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753E">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进口</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9072">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检测设备</w:t>
            </w:r>
          </w:p>
        </w:tc>
      </w:tr>
      <w:tr w14:paraId="6354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5505">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B157">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电阻仪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2D68">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通过定期测量Caco-2单层细胞的​​跨膜电阻（TEER值），以评估细胞单层的完整性和紧密连接的形成情况，从而判断Caco-2细胞模型的建立是否成功。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5D43">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A4E3">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进口</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F14D">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检测设备</w:t>
            </w:r>
          </w:p>
        </w:tc>
      </w:tr>
      <w:tr w14:paraId="0E24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1512">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8FC0">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半自动培养基分装仪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8196">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高产蛋白酶乳酸菌的筛选及其特性研究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2D2D">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3B76">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国产</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D5E0">
            <w:pPr>
              <w:keepNext w:val="0"/>
              <w:keepLines w:val="0"/>
              <w:pageBreakBefore w:val="0"/>
              <w:widowControl/>
              <w:suppressLineNumbers w:val="0"/>
              <w:kinsoku/>
              <w:wordWrap/>
              <w:topLinePunct w:val="0"/>
              <w:bidi w:val="0"/>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检测设备</w:t>
            </w:r>
          </w:p>
        </w:tc>
      </w:tr>
    </w:tbl>
    <w:p w14:paraId="0FB85F56">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标段二：中试设备4台</w:t>
      </w:r>
    </w:p>
    <w:tbl>
      <w:tblPr>
        <w:tblStyle w:val="11"/>
        <w:tblW w:w="9567" w:type="dxa"/>
        <w:tblInd w:w="-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1610"/>
        <w:gridCol w:w="3679"/>
        <w:gridCol w:w="1032"/>
        <w:gridCol w:w="1573"/>
        <w:gridCol w:w="861"/>
      </w:tblGrid>
      <w:tr w14:paraId="1793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DD40">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序号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0B49">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需求名称</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B26A">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目的</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0140">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数量（台）</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5CC8">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进口or</w:t>
            </w:r>
            <w:r>
              <w:rPr>
                <w:rFonts w:hint="eastAsia" w:ascii="仿宋" w:hAnsi="仿宋" w:eastAsia="仿宋" w:cs="仿宋"/>
                <w:b/>
                <w:bCs/>
                <w:i w:val="0"/>
                <w:iCs w:val="0"/>
                <w:color w:val="auto"/>
                <w:kern w:val="0"/>
                <w:sz w:val="28"/>
                <w:szCs w:val="28"/>
                <w:highlight w:val="none"/>
                <w:u w:val="none"/>
                <w:lang w:val="en-US" w:eastAsia="zh-CN" w:bidi="ar"/>
              </w:rPr>
              <w:t>国产（品牌）</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8B91">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标段</w:t>
            </w:r>
          </w:p>
        </w:tc>
      </w:tr>
      <w:tr w14:paraId="5271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D0AF">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05DA">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换热模块</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4A49">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物料加热或冷却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8C40">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ECE0">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国产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9054">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中试设备</w:t>
            </w:r>
          </w:p>
        </w:tc>
      </w:tr>
      <w:tr w14:paraId="222D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F11C">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5FD0">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抽真空包装设备</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99B9">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披萨奶酪抽真空包装</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6170">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29B3">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国产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7CE8">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中试设备</w:t>
            </w:r>
          </w:p>
        </w:tc>
      </w:tr>
      <w:tr w14:paraId="2ADB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715B">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BFC0">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链条炉烤箱</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3F77">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用于披萨奶酪烘焙测试</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484C">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E17B">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进口</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ABA4">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中试设备</w:t>
            </w:r>
          </w:p>
        </w:tc>
      </w:tr>
    </w:tbl>
    <w:p w14:paraId="3BCA28AE">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标段三：在线检测设备3台</w:t>
      </w:r>
    </w:p>
    <w:tbl>
      <w:tblPr>
        <w:tblStyle w:val="11"/>
        <w:tblW w:w="5613" w:type="pct"/>
        <w:tblInd w:w="-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627"/>
        <w:gridCol w:w="3679"/>
        <w:gridCol w:w="1169"/>
        <w:gridCol w:w="1431"/>
        <w:gridCol w:w="861"/>
      </w:tblGrid>
      <w:tr w14:paraId="1F02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4"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29DFC">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序号</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2106">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需求名称</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15F9">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目的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12B6">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数量（台）</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7382">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进口or国产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4458">
            <w:pPr>
              <w:keepNext w:val="0"/>
              <w:keepLines w:val="0"/>
              <w:pageBreakBefore w:val="0"/>
              <w:widowControl/>
              <w:suppressLineNumbers w:val="0"/>
              <w:kinsoku/>
              <w:wordWrap/>
              <w:topLinePunct w:val="0"/>
              <w:bidi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标段</w:t>
            </w:r>
          </w:p>
        </w:tc>
      </w:tr>
      <w:tr w14:paraId="54C4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7592">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highlight w:val="none"/>
                <w:u w:val="none"/>
                <w:lang w:val="en-US" w:eastAsia="zh-CN" w:bidi="ar"/>
              </w:rPr>
              <w:t>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740F">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转矩传感器</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81D7">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用于探究搅拌扭矩与破乳后初始粘度之间的定量关系</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1BD8">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C9C7">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国产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6D2E">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在线检测设备</w:t>
            </w:r>
          </w:p>
        </w:tc>
      </w:tr>
      <w:tr w14:paraId="2F15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9687">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highlight w:val="none"/>
                <w:u w:val="none"/>
                <w:lang w:val="en-US" w:eastAsia="zh-CN" w:bidi="ar"/>
              </w:rPr>
              <w:t>10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32ED">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在线粘度计</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7AAE">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用于实时检测不同工艺设备进出口酸奶粘度变化，以定量评价工艺设备对粘度影响</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197F">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3C88">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均可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793E">
            <w:pPr>
              <w:keepNext w:val="0"/>
              <w:keepLines w:val="0"/>
              <w:pageBreakBefore w:val="0"/>
              <w:widowControl/>
              <w:suppressLineNumbers w:val="0"/>
              <w:kinsoku/>
              <w:wordWrap/>
              <w:topLinePunct w:val="0"/>
              <w:bidi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在线检测设备</w:t>
            </w:r>
          </w:p>
        </w:tc>
      </w:tr>
    </w:tbl>
    <w:p w14:paraId="04CF40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资格要求：</w:t>
      </w:r>
    </w:p>
    <w:p w14:paraId="4533B09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rPr>
        <w:t>1、投标人必须是在中华人民共和国境内注册的具有独立法人资格的企业单位，成立时间须为2022年1月1日(含）前成立，公司注册资金在</w:t>
      </w:r>
      <w:r>
        <w:rPr>
          <w:rFonts w:hint="eastAsia" w:ascii="仿宋" w:hAnsi="仿宋" w:eastAsia="仿宋" w:cs="仿宋"/>
          <w:bCs/>
          <w:iCs/>
          <w:sz w:val="28"/>
          <w:szCs w:val="28"/>
          <w:highlight w:val="none"/>
          <w:lang w:val="en-US" w:eastAsia="zh-CN"/>
        </w:rPr>
        <w:t>5</w:t>
      </w:r>
      <w:r>
        <w:rPr>
          <w:rFonts w:hint="eastAsia" w:ascii="仿宋" w:hAnsi="仿宋" w:eastAsia="仿宋" w:cs="仿宋"/>
          <w:bCs/>
          <w:iCs/>
          <w:sz w:val="28"/>
          <w:szCs w:val="28"/>
          <w:highlight w:val="none"/>
        </w:rPr>
        <w:t>00万元人民币及以上（外币按注册时汇率计算），有能力履行竞谈内容要求和提供竞谈货物及服务，经营范围包含设备生产、设备销售、技术开发等任意一项内容。</w:t>
      </w:r>
    </w:p>
    <w:p w14:paraId="1EFD47D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rPr>
        <w:t>2</w:t>
      </w:r>
      <w:r>
        <w:rPr>
          <w:rFonts w:hint="eastAsia" w:ascii="仿宋" w:hAnsi="仿宋" w:eastAsia="仿宋" w:cs="仿宋"/>
          <w:bCs/>
          <w:iCs/>
          <w:sz w:val="28"/>
          <w:szCs w:val="28"/>
          <w:highlight w:val="none"/>
          <w:lang w:eastAsia="zh-CN"/>
        </w:rPr>
        <w:t>、</w:t>
      </w:r>
      <w:r>
        <w:rPr>
          <w:rFonts w:hint="eastAsia" w:ascii="仿宋" w:hAnsi="仿宋" w:eastAsia="仿宋" w:cs="仿宋"/>
          <w:bCs/>
          <w:iCs/>
          <w:sz w:val="28"/>
          <w:szCs w:val="28"/>
          <w:highlight w:val="none"/>
          <w:lang w:val="en-US" w:eastAsia="zh-CN"/>
        </w:rPr>
        <w:t>投</w:t>
      </w:r>
      <w:r>
        <w:rPr>
          <w:rFonts w:hint="eastAsia" w:ascii="仿宋" w:hAnsi="仿宋" w:eastAsia="仿宋" w:cs="仿宋"/>
          <w:bCs/>
          <w:iCs/>
          <w:sz w:val="28"/>
          <w:szCs w:val="28"/>
          <w:highlight w:val="none"/>
        </w:rPr>
        <w:t>标人须具有开户行许可证或基本存款账户信息。</w:t>
      </w:r>
    </w:p>
    <w:p w14:paraId="78A2EDA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lang w:eastAsia="zh-CN"/>
        </w:rPr>
      </w:pPr>
      <w:r>
        <w:rPr>
          <w:rFonts w:hint="eastAsia" w:ascii="仿宋" w:hAnsi="仿宋" w:eastAsia="仿宋" w:cs="仿宋"/>
          <w:bCs/>
          <w:iCs/>
          <w:sz w:val="28"/>
          <w:szCs w:val="28"/>
          <w:highlight w:val="none"/>
          <w:lang w:val="en-US" w:eastAsia="zh-CN"/>
        </w:rPr>
        <w:t>3</w:t>
      </w:r>
      <w:r>
        <w:rPr>
          <w:rFonts w:hint="eastAsia" w:ascii="仿宋" w:hAnsi="仿宋" w:eastAsia="仿宋" w:cs="仿宋"/>
          <w:bCs/>
          <w:iCs/>
          <w:sz w:val="28"/>
          <w:szCs w:val="28"/>
          <w:highlight w:val="none"/>
        </w:rPr>
        <w:t>、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bCs/>
          <w:iCs/>
          <w:sz w:val="28"/>
          <w:szCs w:val="28"/>
          <w:highlight w:val="none"/>
          <w:lang w:eastAsia="zh-CN"/>
        </w:rPr>
        <w:t>。</w:t>
      </w:r>
    </w:p>
    <w:p w14:paraId="1815FD3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lang w:val="en-US" w:eastAsia="zh-CN"/>
        </w:rPr>
        <w:t>4</w:t>
      </w:r>
      <w:r>
        <w:rPr>
          <w:rFonts w:hint="eastAsia" w:ascii="仿宋" w:hAnsi="仿宋" w:eastAsia="仿宋" w:cs="仿宋"/>
          <w:bCs/>
          <w:iCs/>
          <w:sz w:val="28"/>
          <w:szCs w:val="28"/>
          <w:highlight w:val="none"/>
        </w:rPr>
        <w:t>、投标人须具备一般纳税人资格，能开具税率13%的增值税专用发票。</w:t>
      </w:r>
    </w:p>
    <w:p w14:paraId="68FD71F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lang w:val="en-US" w:eastAsia="zh-CN"/>
        </w:rPr>
        <w:t>5</w:t>
      </w:r>
      <w:r>
        <w:rPr>
          <w:rFonts w:hint="eastAsia" w:ascii="仿宋" w:hAnsi="仿宋" w:eastAsia="仿宋" w:cs="仿宋"/>
          <w:bCs/>
          <w:iCs/>
          <w:sz w:val="28"/>
          <w:szCs w:val="28"/>
          <w:highlight w:val="none"/>
        </w:rPr>
        <w:t>、投标人须具有2022年、2023年、2024年的财务报表</w:t>
      </w:r>
      <w:r>
        <w:rPr>
          <w:rFonts w:hint="eastAsia" w:ascii="仿宋" w:hAnsi="仿宋" w:eastAsia="仿宋" w:cs="仿宋"/>
          <w:bCs/>
          <w:iCs/>
          <w:sz w:val="28"/>
          <w:szCs w:val="28"/>
          <w:highlight w:val="none"/>
          <w:lang w:val="en-US" w:eastAsia="zh-CN"/>
        </w:rPr>
        <w:t>或经第三方审计的财务报告</w:t>
      </w:r>
      <w:r>
        <w:rPr>
          <w:rFonts w:hint="eastAsia" w:ascii="仿宋" w:hAnsi="仿宋" w:eastAsia="仿宋" w:cs="仿宋"/>
          <w:bCs/>
          <w:iCs/>
          <w:sz w:val="28"/>
          <w:szCs w:val="28"/>
          <w:highlight w:val="none"/>
        </w:rPr>
        <w:t>。</w:t>
      </w:r>
    </w:p>
    <w:p w14:paraId="3B93821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lang w:val="en-US" w:eastAsia="zh-CN"/>
        </w:rPr>
        <w:t>6</w:t>
      </w:r>
      <w:r>
        <w:rPr>
          <w:rFonts w:hint="eastAsia" w:ascii="仿宋" w:hAnsi="仿宋" w:eastAsia="仿宋" w:cs="仿宋"/>
          <w:bCs/>
          <w:iCs/>
          <w:sz w:val="28"/>
          <w:szCs w:val="28"/>
          <w:highlight w:val="none"/>
        </w:rPr>
        <w:t>、投标人2022-至今须具有至少一个类似项目业绩（以合同为准）。</w:t>
      </w:r>
    </w:p>
    <w:p w14:paraId="6F9FA95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lang w:val="en-US" w:eastAsia="zh-CN"/>
        </w:rPr>
        <w:t>7、</w:t>
      </w:r>
      <w:r>
        <w:rPr>
          <w:rFonts w:hint="eastAsia" w:ascii="仿宋" w:hAnsi="仿宋" w:eastAsia="仿宋" w:cs="仿宋"/>
          <w:bCs/>
          <w:iCs/>
          <w:sz w:val="28"/>
          <w:szCs w:val="28"/>
          <w:highlight w:val="none"/>
        </w:rPr>
        <w:t>投标人须为所投标设备的设备厂商或授权代理商，若是授权代理商，必须取得所投货物的书面授权书和所投设备的正品的正品承诺书；</w:t>
      </w:r>
    </w:p>
    <w:p w14:paraId="2675350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lang w:val="en-US" w:eastAsia="zh-CN"/>
        </w:rPr>
        <w:t>8、</w:t>
      </w:r>
      <w:r>
        <w:rPr>
          <w:rFonts w:hint="eastAsia" w:ascii="仿宋" w:hAnsi="仿宋" w:eastAsia="仿宋" w:cs="仿宋"/>
          <w:bCs/>
          <w:iCs/>
          <w:sz w:val="28"/>
          <w:szCs w:val="28"/>
          <w:highlight w:val="none"/>
        </w:rPr>
        <w:t>投标人须具备</w:t>
      </w:r>
      <w:r>
        <w:rPr>
          <w:rFonts w:hint="eastAsia" w:ascii="仿宋" w:hAnsi="仿宋" w:eastAsia="仿宋" w:cs="仿宋"/>
          <w:bCs/>
          <w:iCs/>
          <w:sz w:val="28"/>
          <w:szCs w:val="28"/>
          <w:highlight w:val="none"/>
          <w:lang w:val="en-US" w:eastAsia="zh-CN"/>
        </w:rPr>
        <w:t>原厂家</w:t>
      </w:r>
      <w:r>
        <w:rPr>
          <w:rFonts w:hint="eastAsia" w:ascii="仿宋" w:hAnsi="仿宋" w:eastAsia="仿宋" w:cs="仿宋"/>
          <w:bCs/>
          <w:iCs/>
          <w:sz w:val="28"/>
          <w:szCs w:val="28"/>
          <w:highlight w:val="none"/>
        </w:rPr>
        <w:t>售后服务</w:t>
      </w:r>
      <w:r>
        <w:rPr>
          <w:rFonts w:hint="eastAsia" w:ascii="仿宋" w:hAnsi="仿宋" w:eastAsia="仿宋" w:cs="仿宋"/>
          <w:bCs/>
          <w:iCs/>
          <w:sz w:val="28"/>
          <w:szCs w:val="28"/>
          <w:highlight w:val="none"/>
          <w:lang w:val="en-US" w:eastAsia="zh-CN"/>
        </w:rPr>
        <w:t>能力，有专业人员协助解决质量问题的售后服务</w:t>
      </w:r>
      <w:r>
        <w:rPr>
          <w:rFonts w:hint="eastAsia" w:ascii="仿宋" w:hAnsi="仿宋" w:eastAsia="仿宋" w:cs="仿宋"/>
          <w:bCs/>
          <w:iCs/>
          <w:sz w:val="28"/>
          <w:szCs w:val="28"/>
          <w:highlight w:val="none"/>
        </w:rPr>
        <w:t>。</w:t>
      </w:r>
    </w:p>
    <w:p w14:paraId="58152AC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lang w:val="en-US" w:eastAsia="zh-CN"/>
        </w:rPr>
        <w:t>9</w:t>
      </w:r>
      <w:r>
        <w:rPr>
          <w:rFonts w:hint="eastAsia" w:ascii="仿宋" w:hAnsi="仿宋" w:eastAsia="仿宋" w:cs="仿宋"/>
          <w:bCs/>
          <w:iCs/>
          <w:sz w:val="28"/>
          <w:szCs w:val="28"/>
          <w:highlight w:val="none"/>
        </w:rPr>
        <w:t>、本次竞谈项目不接受多家单位联合报价，不允许分包或转包。</w:t>
      </w:r>
    </w:p>
    <w:p w14:paraId="5D30968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lang w:val="en-US" w:eastAsia="zh-CN"/>
        </w:rPr>
        <w:t>10</w:t>
      </w:r>
      <w:r>
        <w:rPr>
          <w:rFonts w:hint="eastAsia" w:ascii="仿宋" w:hAnsi="仿宋" w:eastAsia="仿宋" w:cs="仿宋"/>
          <w:bCs/>
          <w:iCs/>
          <w:sz w:val="28"/>
          <w:szCs w:val="28"/>
          <w:highlight w:val="none"/>
        </w:rPr>
        <w:t>、投标人未被列入国家企业信用信息公示系统（http://www.gsxt.gov.cn/index.html）严重违法失信企业名单。</w:t>
      </w:r>
    </w:p>
    <w:p w14:paraId="44BA232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lang w:val="en-US" w:eastAsia="zh-CN"/>
        </w:rPr>
        <w:t>11</w:t>
      </w:r>
      <w:r>
        <w:rPr>
          <w:rFonts w:hint="eastAsia" w:ascii="仿宋" w:hAnsi="仿宋" w:eastAsia="仿宋" w:cs="仿宋"/>
          <w:bCs/>
          <w:iCs/>
          <w:sz w:val="28"/>
          <w:szCs w:val="28"/>
          <w:highlight w:val="none"/>
        </w:rPr>
        <w:t>、不接受中粮及蒙牛供应商黑名单（以蒙牛集团采购招标管理部下发的黑名单为准）的企业参与竞争。</w:t>
      </w:r>
    </w:p>
    <w:p w14:paraId="5E896F4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Cs/>
          <w:iCs/>
          <w:sz w:val="28"/>
          <w:szCs w:val="28"/>
          <w:highlight w:val="none"/>
        </w:rPr>
      </w:pPr>
      <w:r>
        <w:rPr>
          <w:rFonts w:hint="eastAsia" w:ascii="仿宋" w:hAnsi="仿宋" w:eastAsia="仿宋" w:cs="仿宋"/>
          <w:bCs/>
          <w:iCs/>
          <w:sz w:val="28"/>
          <w:szCs w:val="28"/>
          <w:highlight w:val="none"/>
        </w:rPr>
        <w:t>1</w:t>
      </w:r>
      <w:r>
        <w:rPr>
          <w:rFonts w:hint="eastAsia" w:ascii="仿宋" w:hAnsi="仿宋" w:eastAsia="仿宋" w:cs="仿宋"/>
          <w:bCs/>
          <w:iCs/>
          <w:sz w:val="28"/>
          <w:szCs w:val="28"/>
          <w:highlight w:val="none"/>
          <w:lang w:val="en-US" w:eastAsia="zh-CN"/>
        </w:rPr>
        <w:t>2</w:t>
      </w:r>
      <w:r>
        <w:rPr>
          <w:rFonts w:hint="eastAsia" w:ascii="仿宋" w:hAnsi="仿宋" w:eastAsia="仿宋" w:cs="仿宋"/>
          <w:bCs/>
          <w:iCs/>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5B2B19D9">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五、报名须知</w:t>
      </w:r>
    </w:p>
    <w:p w14:paraId="441BE24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color w:val="000000"/>
          <w:sz w:val="28"/>
          <w:szCs w:val="28"/>
          <w:highlight w:val="none"/>
          <w:lang w:val="en-US" w:eastAsia="zh-CN"/>
        </w:rPr>
        <w:t>（一）</w:t>
      </w:r>
      <w:r>
        <w:rPr>
          <w:rFonts w:hint="eastAsia" w:ascii="仿宋" w:hAnsi="仿宋" w:eastAsia="仿宋" w:cs="仿宋"/>
          <w:bCs/>
          <w:iCs/>
          <w:sz w:val="28"/>
          <w:szCs w:val="28"/>
          <w:highlight w:val="none"/>
        </w:rPr>
        <w:t>执行蒙牛集团电子采购招标平台线上采购招标流程</w:t>
      </w:r>
    </w:p>
    <w:p w14:paraId="4679391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rPr>
        <w:t>登录蒙牛集团电子采购招标平台报名</w:t>
      </w:r>
    </w:p>
    <w:p w14:paraId="53A7FAA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Style w:val="15"/>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潜在投标人依据资格要求自主评估，符合条件的进行网上报名及资格验证，蒙牛集团电子采购招标平台网址：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Style w:val="15"/>
          <w:rFonts w:hint="eastAsia" w:ascii="仿宋" w:hAnsi="仿宋" w:eastAsia="仿宋" w:cs="仿宋"/>
          <w:sz w:val="28"/>
          <w:szCs w:val="28"/>
          <w:highlight w:val="none"/>
        </w:rPr>
        <w:t>https://zbcg.mengniu.cn/#/home</w:t>
      </w:r>
      <w:r>
        <w:rPr>
          <w:rStyle w:val="15"/>
          <w:rFonts w:hint="eastAsia" w:ascii="仿宋" w:hAnsi="仿宋" w:eastAsia="仿宋" w:cs="仿宋"/>
          <w:sz w:val="28"/>
          <w:szCs w:val="28"/>
          <w:highlight w:val="none"/>
        </w:rPr>
        <w:fldChar w:fldCharType="end"/>
      </w:r>
      <w:r>
        <w:rPr>
          <w:rStyle w:val="15"/>
          <w:rFonts w:hint="eastAsia" w:ascii="仿宋" w:hAnsi="仿宋" w:eastAsia="仿宋" w:cs="仿宋"/>
          <w:sz w:val="28"/>
          <w:szCs w:val="28"/>
          <w:highlight w:val="none"/>
        </w:rPr>
        <w:t xml:space="preserve"> </w:t>
      </w:r>
    </w:p>
    <w:p w14:paraId="3A7A88C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FF0000"/>
          <w:sz w:val="28"/>
          <w:szCs w:val="28"/>
          <w:highlight w:val="none"/>
        </w:rPr>
        <w:t>请先阅读服务手册，平台服务支持电话为010-21362559。</w:t>
      </w:r>
    </w:p>
    <w:p w14:paraId="7EA9B17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2、登录蒙牛供应商关系管理平台报名</w:t>
      </w:r>
    </w:p>
    <w:p w14:paraId="54640C8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潜在投标人依据资格要求自主评估，符合条件的进行网上报名及资格验证，蒙牛集团供应链关系管理平台网址：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"https://srm.mengniu.cn/sap/bc/webdynpro/sap/zregistration" </w:instrText>
      </w:r>
      <w:r>
        <w:rPr>
          <w:rFonts w:hint="eastAsia" w:ascii="仿宋" w:hAnsi="仿宋" w:eastAsia="仿宋" w:cs="仿宋"/>
          <w:sz w:val="28"/>
          <w:szCs w:val="28"/>
          <w:highlight w:val="none"/>
        </w:rPr>
        <w:fldChar w:fldCharType="separate"/>
      </w:r>
      <w:r>
        <w:rPr>
          <w:rStyle w:val="15"/>
          <w:rFonts w:hint="eastAsia" w:ascii="仿宋" w:hAnsi="仿宋" w:eastAsia="仿宋" w:cs="仿宋"/>
          <w:sz w:val="28"/>
          <w:szCs w:val="28"/>
          <w:highlight w:val="none"/>
        </w:rPr>
        <w:t>https://srm.mengniu.cn/sap/bc/webdynpro/sap/zregistration</w:t>
      </w:r>
      <w:r>
        <w:rPr>
          <w:rStyle w:val="15"/>
          <w:rFonts w:hint="eastAsia" w:ascii="仿宋" w:hAnsi="仿宋" w:eastAsia="仿宋" w:cs="仿宋"/>
          <w:sz w:val="28"/>
          <w:szCs w:val="28"/>
          <w:highlight w:val="none"/>
        </w:rPr>
        <w:fldChar w:fldCharType="end"/>
      </w:r>
    </w:p>
    <w:p w14:paraId="1501D8B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平台服务支持电话为4008108111.（投标人报名时须将报名资料盖章扫描上传到平台中）。</w:t>
      </w:r>
    </w:p>
    <w:p w14:paraId="3455FF5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p>
    <w:p w14:paraId="496F60A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有效的营业执照（副本）</w:t>
      </w:r>
      <w:r>
        <w:rPr>
          <w:rFonts w:hint="eastAsia" w:ascii="仿宋" w:hAnsi="仿宋" w:eastAsia="仿宋" w:cs="仿宋"/>
          <w:color w:val="000000"/>
          <w:sz w:val="28"/>
          <w:szCs w:val="28"/>
          <w:highlight w:val="none"/>
          <w:lang w:eastAsia="zh-CN"/>
        </w:rPr>
        <w:t>，</w:t>
      </w:r>
      <w:r>
        <w:rPr>
          <w:rFonts w:hint="eastAsia" w:ascii="仿宋" w:hAnsi="仿宋" w:eastAsia="仿宋" w:cs="仿宋"/>
          <w:b w:val="0"/>
          <w:bCs/>
          <w:sz w:val="28"/>
          <w:szCs w:val="28"/>
          <w:highlight w:val="none"/>
        </w:rPr>
        <w:t>成立时间须为2022年1月1日(含）前成立，公司注册资金在</w:t>
      </w: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00万元人民币及以上（外币按注册时汇率计算），有能力履行竞谈内容要求和提供竞谈货物及服务，经营范围包含设备生产、设备销售、技术开发等任意一项内容</w:t>
      </w:r>
      <w:r>
        <w:rPr>
          <w:rFonts w:hint="eastAsia" w:ascii="仿宋" w:hAnsi="仿宋" w:eastAsia="仿宋" w:cs="仿宋"/>
          <w:color w:val="000000"/>
          <w:sz w:val="28"/>
          <w:szCs w:val="28"/>
          <w:highlight w:val="none"/>
          <w:lang w:eastAsia="zh-CN"/>
        </w:rPr>
        <w:t>。</w:t>
      </w:r>
    </w:p>
    <w:p w14:paraId="011EBAE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提供法定代表人证明书或授权委托书原件</w:t>
      </w:r>
      <w:r>
        <w:rPr>
          <w:rFonts w:hint="eastAsia" w:ascii="仿宋" w:hAnsi="仿宋" w:eastAsia="仿宋" w:cs="仿宋"/>
          <w:color w:val="000000"/>
          <w:sz w:val="28"/>
          <w:szCs w:val="28"/>
          <w:highlight w:val="none"/>
          <w:lang w:eastAsia="zh-CN"/>
        </w:rPr>
        <w:t>。</w:t>
      </w:r>
    </w:p>
    <w:p w14:paraId="6B1799F9">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rPr>
        <w:t>备注：法定代表人须上传法定代表人证明材料及身份证扫描件，若为法定代表人的授权委托人须上传一份法人授权委托书和身份证原件及授权委托人近一年内</w:t>
      </w:r>
      <w:r>
        <w:rPr>
          <w:rFonts w:hint="eastAsia" w:ascii="仿宋" w:hAnsi="仿宋" w:eastAsia="仿宋" w:cs="仿宋"/>
          <w:color w:val="000000"/>
          <w:sz w:val="28"/>
          <w:szCs w:val="28"/>
          <w:highlight w:val="none"/>
          <w:lang w:val="en-US" w:eastAsia="zh-CN"/>
        </w:rPr>
        <w:t>任意三个月</w:t>
      </w:r>
      <w:r>
        <w:rPr>
          <w:rFonts w:hint="eastAsia" w:ascii="仿宋" w:hAnsi="仿宋" w:eastAsia="仿宋" w:cs="仿宋"/>
          <w:color w:val="000000"/>
          <w:sz w:val="28"/>
          <w:szCs w:val="28"/>
          <w:highlight w:val="none"/>
        </w:rPr>
        <w:t>在本单位的社保证明材料</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附件1</w:t>
      </w:r>
      <w:r>
        <w:rPr>
          <w:rFonts w:hint="eastAsia" w:ascii="仿宋" w:hAnsi="仿宋" w:eastAsia="仿宋" w:cs="仿宋"/>
          <w:color w:val="000000"/>
          <w:sz w:val="28"/>
          <w:szCs w:val="28"/>
          <w:highlight w:val="none"/>
          <w:lang w:eastAsia="zh-CN"/>
        </w:rPr>
        <w:t>）</w:t>
      </w:r>
    </w:p>
    <w:p w14:paraId="7271F72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有效的开户行许可证</w:t>
      </w:r>
      <w:r>
        <w:rPr>
          <w:rFonts w:hint="eastAsia" w:ascii="仿宋" w:hAnsi="仿宋" w:eastAsia="仿宋" w:cs="仿宋"/>
          <w:color w:val="000000"/>
          <w:sz w:val="28"/>
          <w:szCs w:val="28"/>
          <w:highlight w:val="none"/>
          <w:lang w:val="en-US" w:eastAsia="zh-CN"/>
        </w:rPr>
        <w:t>或</w:t>
      </w:r>
      <w:r>
        <w:rPr>
          <w:rFonts w:hint="eastAsia" w:ascii="仿宋" w:hAnsi="仿宋" w:eastAsia="仿宋" w:cs="仿宋"/>
          <w:color w:val="000000"/>
          <w:sz w:val="28"/>
          <w:szCs w:val="28"/>
          <w:highlight w:val="none"/>
        </w:rPr>
        <w:t>基本存款账户信息</w:t>
      </w:r>
      <w:r>
        <w:rPr>
          <w:rFonts w:hint="eastAsia" w:ascii="仿宋" w:hAnsi="仿宋" w:eastAsia="仿宋" w:cs="仿宋"/>
          <w:color w:val="000000"/>
          <w:sz w:val="28"/>
          <w:szCs w:val="28"/>
          <w:highlight w:val="none"/>
          <w:lang w:eastAsia="zh-CN"/>
        </w:rPr>
        <w:t>。</w:t>
      </w:r>
    </w:p>
    <w:p w14:paraId="4EE233E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4、提供本企业2024年1月1日至今任意3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color w:val="000000"/>
          <w:sz w:val="28"/>
          <w:szCs w:val="28"/>
          <w:highlight w:val="none"/>
        </w:rPr>
        <w:t>。</w:t>
      </w:r>
    </w:p>
    <w:p w14:paraId="437F2CA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提供一般纳税人认定资格证明材料及提供已开出税率13%的增值税专用发票复印件。</w:t>
      </w:r>
    </w:p>
    <w:p w14:paraId="44F3E4C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提供本企业2022年、2023年、2024年的财务报表</w:t>
      </w:r>
      <w:r>
        <w:rPr>
          <w:rFonts w:hint="eastAsia" w:ascii="仿宋" w:hAnsi="仿宋" w:eastAsia="仿宋" w:cs="仿宋"/>
          <w:b w:val="0"/>
          <w:bCs/>
          <w:sz w:val="28"/>
          <w:szCs w:val="28"/>
          <w:highlight w:val="none"/>
          <w:lang w:val="en-US" w:eastAsia="zh-CN"/>
        </w:rPr>
        <w:t>或经第三方审计的财务报告</w:t>
      </w:r>
      <w:r>
        <w:rPr>
          <w:rFonts w:hint="eastAsia" w:ascii="仿宋" w:hAnsi="仿宋" w:eastAsia="仿宋" w:cs="仿宋"/>
          <w:color w:val="000000"/>
          <w:sz w:val="28"/>
          <w:szCs w:val="28"/>
          <w:highlight w:val="none"/>
        </w:rPr>
        <w:t>。</w:t>
      </w:r>
    </w:p>
    <w:p w14:paraId="252DCC6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提供本企业2022年至今至少1个类似项目的业绩</w:t>
      </w:r>
      <w:r>
        <w:rPr>
          <w:rFonts w:hint="eastAsia" w:ascii="仿宋" w:hAnsi="仿宋" w:eastAsia="仿宋" w:cs="仿宋"/>
          <w:color w:val="000000"/>
          <w:sz w:val="28"/>
          <w:szCs w:val="28"/>
          <w:highlight w:val="none"/>
          <w:lang w:val="en-US" w:eastAsia="zh-CN"/>
        </w:rPr>
        <w:t>的</w:t>
      </w:r>
      <w:r>
        <w:rPr>
          <w:rFonts w:hint="eastAsia" w:ascii="仿宋" w:hAnsi="仿宋" w:eastAsia="仿宋" w:cs="仿宋"/>
          <w:color w:val="000000"/>
          <w:sz w:val="28"/>
          <w:szCs w:val="28"/>
          <w:highlight w:val="none"/>
        </w:rPr>
        <w:t>证明材料（以合同为准）。</w:t>
      </w:r>
    </w:p>
    <w:p w14:paraId="1ADC025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提供所投标设备的设备厂商的承诺书和所投设备的正品承诺书，若是授权代理商需提供所投货物的书面授权书（明确对应设备）和所投设备的正品承诺书。</w:t>
      </w:r>
    </w:p>
    <w:p w14:paraId="2A88084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val="en-US" w:eastAsia="zh-CN"/>
        </w:rPr>
        <w:t>原厂家</w:t>
      </w:r>
      <w:r>
        <w:rPr>
          <w:rFonts w:hint="eastAsia" w:ascii="仿宋" w:hAnsi="仿宋" w:eastAsia="仿宋" w:cs="仿宋"/>
          <w:color w:val="000000"/>
          <w:sz w:val="28"/>
          <w:szCs w:val="28"/>
          <w:highlight w:val="none"/>
        </w:rPr>
        <w:t>售后服务</w:t>
      </w:r>
      <w:r>
        <w:rPr>
          <w:rFonts w:hint="eastAsia" w:ascii="仿宋" w:hAnsi="仿宋" w:eastAsia="仿宋" w:cs="仿宋"/>
          <w:color w:val="000000"/>
          <w:sz w:val="28"/>
          <w:szCs w:val="28"/>
          <w:highlight w:val="none"/>
          <w:lang w:val="en-US" w:eastAsia="zh-CN"/>
        </w:rPr>
        <w:t>的</w:t>
      </w:r>
      <w:r>
        <w:rPr>
          <w:rFonts w:hint="eastAsia" w:ascii="仿宋" w:hAnsi="仿宋" w:eastAsia="仿宋" w:cs="仿宋"/>
          <w:color w:val="000000"/>
          <w:sz w:val="28"/>
          <w:szCs w:val="28"/>
          <w:highlight w:val="none"/>
        </w:rPr>
        <w:t>承诺书，有专业人员协助解决质量问题的售后服务。</w:t>
      </w:r>
    </w:p>
    <w:p w14:paraId="34909B6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提供非联合体形式参与，及如中标本项目不进行分包或转包承诺书。（附件</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p>
    <w:p w14:paraId="161B8FE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提供本企业未被列入国家企业信用信息公示系统（http://www.gsxt.gov.cn/index.html）严重违法失信企业名单的证明材料。</w:t>
      </w:r>
    </w:p>
    <w:p w14:paraId="090D29B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提供关于聘用蒙牛在职人员亲属（含特定关系人）及离职人员的告知函。（附件</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，请详细阅读告知函，如为告知函中情况二须同时提供《阳光协议》）</w:t>
      </w:r>
    </w:p>
    <w:p w14:paraId="2441ED3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13、提</w:t>
      </w:r>
      <w:r>
        <w:rPr>
          <w:rFonts w:hint="eastAsia" w:ascii="仿宋" w:hAnsi="仿宋" w:eastAsia="仿宋" w:cs="仿宋"/>
          <w:color w:val="000000"/>
          <w:sz w:val="28"/>
          <w:szCs w:val="28"/>
          <w:highlight w:val="none"/>
        </w:rPr>
        <w:t>供保密承诺书。（附件</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p>
    <w:p w14:paraId="4C4EE5CE">
      <w:pPr>
        <w:keepNext w:val="0"/>
        <w:keepLines w:val="0"/>
        <w:pageBreakBefore w:val="0"/>
        <w:widowControl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说明：</w:t>
      </w:r>
    </w:p>
    <w:p w14:paraId="38816A96">
      <w:pPr>
        <w:keepNext w:val="0"/>
        <w:keepLines w:val="0"/>
        <w:pageBreakBefore w:val="0"/>
        <w:widowControl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本项目采用全流程电子化招标采购方式，以上各类证书、证明材料应为原件的复印件，</w:t>
      </w:r>
      <w:r>
        <w:rPr>
          <w:rFonts w:hint="eastAsia" w:ascii="仿宋" w:hAnsi="仿宋" w:eastAsia="仿宋" w:cs="仿宋"/>
          <w:b/>
          <w:bCs/>
          <w:color w:val="00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）”进行线上提交，进行资格审查（过期提交不予受理），审查合格后方可购买谈判文件（仅作为发放谈判文件的依据）。</w:t>
      </w:r>
    </w:p>
    <w:p w14:paraId="329E098D">
      <w:pPr>
        <w:keepNext w:val="0"/>
        <w:keepLines w:val="0"/>
        <w:pageBreakBefore w:val="0"/>
        <w:widowControl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w:t>
      </w:r>
      <w:r>
        <w:rPr>
          <w:rFonts w:hint="eastAsia" w:ascii="仿宋" w:hAnsi="仿宋" w:eastAsia="仿宋" w:cs="仿宋"/>
          <w:color w:val="000000"/>
          <w:sz w:val="28"/>
          <w:szCs w:val="28"/>
          <w:highlight w:val="none"/>
          <w:lang w:val="en-US" w:eastAsia="zh-CN"/>
        </w:rPr>
        <w:t>投标</w:t>
      </w:r>
      <w:r>
        <w:rPr>
          <w:rFonts w:hint="eastAsia" w:ascii="仿宋" w:hAnsi="仿宋" w:eastAsia="仿宋" w:cs="仿宋"/>
          <w:color w:val="000000"/>
          <w:sz w:val="28"/>
          <w:szCs w:val="28"/>
          <w:highlight w:val="none"/>
        </w:rPr>
        <w:t>资格。</w:t>
      </w:r>
    </w:p>
    <w:p w14:paraId="1FAC953E">
      <w:pPr>
        <w:keepNext w:val="0"/>
        <w:keepLines w:val="0"/>
        <w:pageBreakBefore w:val="0"/>
        <w:widowControl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34E6287E">
      <w:pPr>
        <w:keepNext w:val="0"/>
        <w:keepLines w:val="0"/>
        <w:pageBreakBefore w:val="0"/>
        <w:widowControl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以上报名资料内容必须清晰、易辨认，否则将被视为没有提供有效证件</w:t>
      </w:r>
      <w:r>
        <w:rPr>
          <w:rFonts w:hint="eastAsia" w:ascii="仿宋" w:hAnsi="仿宋" w:eastAsia="仿宋" w:cs="仿宋"/>
          <w:sz w:val="28"/>
          <w:szCs w:val="28"/>
          <w:highlight w:val="none"/>
          <w:lang w:eastAsia="zh-CN"/>
        </w:rPr>
        <w:t>。</w:t>
      </w:r>
    </w:p>
    <w:p w14:paraId="7DEA6B3C">
      <w:pPr>
        <w:keepNext w:val="0"/>
        <w:keepLines w:val="0"/>
        <w:pageBreakBefore w:val="0"/>
        <w:widowControl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资料提供不全或者未按时间要求提报的将被拒绝接收，所提供的资质业绩文件中如有虚假情况，一经发现将被取消竞争资格。</w:t>
      </w:r>
    </w:p>
    <w:p w14:paraId="30861436">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122F12D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w:t>
      </w:r>
    </w:p>
    <w:p w14:paraId="47B83D2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p>
    <w:p w14:paraId="658B573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200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/标段，</w:t>
      </w:r>
      <w:r>
        <w:rPr>
          <w:rFonts w:hint="eastAsia" w:ascii="仿宋" w:hAnsi="仿宋" w:eastAsia="仿宋" w:cs="仿宋"/>
          <w:sz w:val="28"/>
          <w:szCs w:val="28"/>
          <w:highlight w:val="none"/>
        </w:rPr>
        <w:t>售后不退（汇款后将回执扫描后上传至蒙牛集团电子采购招标平台）；</w:t>
      </w:r>
    </w:p>
    <w:p w14:paraId="1DF384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F94B3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58310A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311061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75F10D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423B3F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4、</w:t>
      </w:r>
      <w:r>
        <w:rPr>
          <w:rFonts w:hint="eastAsia" w:ascii="仿宋" w:hAnsi="仿宋" w:eastAsia="仿宋" w:cs="仿宋"/>
          <w:sz w:val="28"/>
          <w:szCs w:val="28"/>
          <w:highlight w:val="none"/>
        </w:rPr>
        <w:t>谈判时间：</w:t>
      </w:r>
      <w:r>
        <w:rPr>
          <w:rFonts w:hint="eastAsia" w:ascii="仿宋" w:hAnsi="仿宋" w:eastAsia="仿宋" w:cs="仿宋"/>
          <w:sz w:val="28"/>
          <w:szCs w:val="28"/>
          <w:highlight w:val="none"/>
          <w:u w:val="none"/>
          <w:lang w:val="en-US" w:eastAsia="zh-CN"/>
        </w:rPr>
        <w:t>2025年8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none"/>
          <w:lang w:val="en-US" w:eastAsia="zh-CN"/>
        </w:rPr>
        <w:t>27</w:t>
      </w:r>
      <w:r>
        <w:rPr>
          <w:rFonts w:hint="eastAsia" w:ascii="仿宋" w:hAnsi="仿宋" w:eastAsia="仿宋" w:cs="仿宋"/>
          <w:sz w:val="28"/>
          <w:szCs w:val="28"/>
          <w:highlight w:val="none"/>
          <w:u w:val="none"/>
        </w:rPr>
        <w:t>日</w:t>
      </w:r>
      <w:r>
        <w:rPr>
          <w:rFonts w:hint="eastAsia" w:ascii="仿宋" w:hAnsi="仿宋" w:eastAsia="仿宋" w:cs="仿宋"/>
          <w:sz w:val="28"/>
          <w:szCs w:val="28"/>
          <w:highlight w:val="none"/>
          <w:u w:val="none"/>
          <w:lang w:val="en-US" w:eastAsia="zh-CN"/>
        </w:rPr>
        <w:t>9</w:t>
      </w:r>
      <w:r>
        <w:rPr>
          <w:rFonts w:hint="eastAsia" w:ascii="仿宋" w:hAnsi="仿宋" w:eastAsia="仿宋" w:cs="仿宋"/>
          <w:sz w:val="28"/>
          <w:szCs w:val="28"/>
          <w:highlight w:val="none"/>
        </w:rPr>
        <w:t>时（以发出的谈判文件为准）；</w:t>
      </w:r>
    </w:p>
    <w:p w14:paraId="51984C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b/>
          <w:bCs/>
          <w:sz w:val="28"/>
          <w:szCs w:val="28"/>
          <w:highlight w:val="none"/>
          <w:u w:val="none"/>
          <w:lang w:val="en-US" w:eastAsia="zh-CN"/>
        </w:rPr>
        <w:t>七、谈判地点：</w:t>
      </w:r>
      <w:r>
        <w:rPr>
          <w:rFonts w:hint="eastAsia" w:ascii="仿宋" w:hAnsi="仿宋" w:eastAsia="仿宋" w:cs="仿宋"/>
          <w:sz w:val="28"/>
          <w:szCs w:val="28"/>
          <w:highlight w:val="none"/>
          <w:u w:val="none"/>
          <w:lang w:val="en-US" w:eastAsia="zh-CN"/>
        </w:rPr>
        <w:t>蒙牛集团电子采购招标平台（https://zbcg.mengniu.cn/）（以发出的谈判文件为准）</w:t>
      </w:r>
    </w:p>
    <w:p w14:paraId="7368F3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八、发布媒体：</w:t>
      </w:r>
    </w:p>
    <w:p w14:paraId="32D3DF9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中国采购与招标网大数据平台</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"https://www.chinabidding.cn/"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https://www.chinabidding.cn/</w:t>
      </w:r>
      <w:r>
        <w:rPr>
          <w:rFonts w:hint="eastAsia" w:ascii="仿宋" w:hAnsi="仿宋" w:eastAsia="仿宋" w:cs="仿宋"/>
          <w:sz w:val="28"/>
          <w:szCs w:val="28"/>
          <w:highlight w:val="none"/>
          <w:lang w:val="en-US" w:eastAsia="zh-CN"/>
        </w:rPr>
        <w:fldChar w:fldCharType="end"/>
      </w:r>
    </w:p>
    <w:p w14:paraId="2B85995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蒙牛集团电子采购招标平台</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p>
    <w:p w14:paraId="60AC62A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蒙牛官网http://www.mengniu.com.cn</w:t>
      </w:r>
    </w:p>
    <w:p w14:paraId="755EEC1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蒙牛内部OA平台</w:t>
      </w:r>
    </w:p>
    <w:p w14:paraId="132C898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此公告只在以上平台发布，其他任何媒体转载无效。</w:t>
      </w:r>
    </w:p>
    <w:p w14:paraId="2369ABCC">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00B733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r>
        <w:rPr>
          <w:rFonts w:hint="eastAsia" w:ascii="仿宋" w:hAnsi="仿宋" w:eastAsia="仿宋" w:cs="仿宋"/>
          <w:i w:val="0"/>
          <w:iCs w:val="0"/>
          <w:caps w:val="0"/>
          <w:color w:val="000000"/>
          <w:spacing w:val="0"/>
          <w:sz w:val="28"/>
          <w:szCs w:val="28"/>
          <w:highlight w:val="none"/>
        </w:rPr>
        <w:t>内蒙古蒙牛乳业(集团)股份有限公司</w:t>
      </w:r>
    </w:p>
    <w:p w14:paraId="03865AE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贺俊英</w:t>
      </w:r>
      <w:r>
        <w:rPr>
          <w:rFonts w:hint="eastAsia" w:ascii="仿宋" w:hAnsi="仿宋" w:eastAsia="仿宋" w:cs="仿宋"/>
          <w:sz w:val="28"/>
          <w:szCs w:val="28"/>
          <w:highlight w:val="none"/>
        </w:rPr>
        <w:t xml:space="preserve">                  </w:t>
      </w:r>
    </w:p>
    <w:p w14:paraId="635FD32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val="en-US" w:eastAsia="zh-CN"/>
        </w:rPr>
        <w:t>17704802965</w:t>
      </w:r>
    </w:p>
    <w:p w14:paraId="420409A5">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十、招标代理公司及联系方式：</w:t>
      </w:r>
    </w:p>
    <w:p w14:paraId="78568C1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招标代理公司：内蒙古华晟工程项目管理有限公司</w:t>
      </w:r>
    </w:p>
    <w:p w14:paraId="1D0F650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报名联系人：张越君：18847081800、丁桠楠：13847197935、王子刚</w:t>
      </w:r>
    </w:p>
    <w:p w14:paraId="4D58C88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联系电话：0471-3957849/4918085  分机号：8034</w:t>
      </w:r>
    </w:p>
    <w:p w14:paraId="292B4DE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电子邮箱：zhangyuejun@nmghuasheng.com</w:t>
      </w:r>
    </w:p>
    <w:p w14:paraId="5606C80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联系地址：内蒙古自治区呼和浩特市赛罕区锡林南路盈嘉国际综合楼27层</w:t>
      </w:r>
    </w:p>
    <w:p w14:paraId="6F6C1684">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w:t>
      </w: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、监督单位及联系方式：</w:t>
      </w:r>
    </w:p>
    <w:p w14:paraId="4813B0A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监督单位：内蒙古蒙牛乳业（集团）股份有限公司采购招标管理部</w:t>
      </w:r>
    </w:p>
    <w:p w14:paraId="1A0D1E4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异议/投诉服务网址：</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"https://zbcg.mengniu.cn/" \l "/home" \t "_blank" </w:instrText>
      </w:r>
      <w:r>
        <w:rPr>
          <w:rFonts w:hint="eastAsia" w:ascii="仿宋" w:hAnsi="仿宋" w:eastAsia="仿宋" w:cs="仿宋"/>
          <w:color w:val="auto"/>
          <w:sz w:val="28"/>
          <w:szCs w:val="28"/>
          <w:highlight w:val="none"/>
        </w:rPr>
        <w:fldChar w:fldCharType="separate"/>
      </w:r>
      <w:r>
        <w:rPr>
          <w:rStyle w:val="15"/>
          <w:rFonts w:hint="eastAsia" w:ascii="仿宋" w:hAnsi="仿宋" w:eastAsia="仿宋" w:cs="仿宋"/>
          <w:color w:val="auto"/>
          <w:sz w:val="28"/>
          <w:szCs w:val="28"/>
          <w:highlight w:val="none"/>
          <w:shd w:val="clear" w:color="auto" w:fill="FFFFFF"/>
        </w:rPr>
        <w:t>https://zbcg.mengniu.cn/#/home</w:t>
      </w:r>
      <w:r>
        <w:rPr>
          <w:rStyle w:val="15"/>
          <w:rFonts w:hint="eastAsia" w:ascii="仿宋" w:hAnsi="仿宋" w:eastAsia="仿宋" w:cs="仿宋"/>
          <w:color w:val="auto"/>
          <w:sz w:val="28"/>
          <w:szCs w:val="28"/>
          <w:highlight w:val="none"/>
          <w:shd w:val="clear" w:color="auto" w:fill="FFFFFF"/>
        </w:rPr>
        <w:fldChar w:fldCharType="end"/>
      </w:r>
    </w:p>
    <w:p w14:paraId="6004DC6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监 督 人: </w:t>
      </w:r>
      <w:r>
        <w:rPr>
          <w:rFonts w:hint="eastAsia" w:ascii="仿宋" w:hAnsi="仿宋" w:eastAsia="仿宋" w:cs="仿宋"/>
          <w:color w:val="auto"/>
          <w:sz w:val="28"/>
          <w:szCs w:val="28"/>
          <w:highlight w:val="none"/>
          <w:lang w:val="en-US" w:eastAsia="zh-CN"/>
        </w:rPr>
        <w:t>潘宏</w:t>
      </w:r>
      <w:r>
        <w:rPr>
          <w:rFonts w:hint="eastAsia" w:ascii="仿宋" w:hAnsi="仿宋" w:eastAsia="仿宋" w:cs="仿宋"/>
          <w:color w:val="auto"/>
          <w:sz w:val="28"/>
          <w:szCs w:val="28"/>
          <w:highlight w:val="none"/>
        </w:rPr>
        <w:t xml:space="preserve">                      </w:t>
      </w:r>
    </w:p>
    <w:p w14:paraId="6514AAD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联系电话：0471-7393642/监督人电话18686095595</w:t>
      </w:r>
    </w:p>
    <w:p w14:paraId="1CC5EDC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电子邮件：panhong@mengniu.cn</w:t>
      </w:r>
    </w:p>
    <w:p w14:paraId="4040E11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异议/投诉服务网址：https://zbcg.mengniu.cn/#/home</w:t>
      </w:r>
    </w:p>
    <w:p w14:paraId="65E4E98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7677BC1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 张丽娜</w:t>
      </w:r>
    </w:p>
    <w:p w14:paraId="72C3057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3F7E290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受理范围：采购招标执行过程中涉嫌贪污贿赂、滥用职权、玩忽职守、权力寻租、利益输送、徇私舞弊以及浪费公司资财等违纪问题的各类举报。</w:t>
      </w:r>
    </w:p>
    <w:p w14:paraId="759EFA9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3EBF241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.非联合体竞谈，不分包或转包声明</w:t>
      </w:r>
    </w:p>
    <w:p w14:paraId="6B0EC06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.告知函</w:t>
      </w:r>
    </w:p>
    <w:p w14:paraId="3633DA7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.保密承诺书</w:t>
      </w:r>
    </w:p>
    <w:p w14:paraId="64B5538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p>
    <w:p w14:paraId="39E8D77A">
      <w:pPr>
        <w:keepNext w:val="0"/>
        <w:keepLines w:val="0"/>
        <w:pageBreakBefore w:val="0"/>
        <w:widowControl w:val="0"/>
        <w:kinsoku/>
        <w:wordWrap/>
        <w:overflowPunct/>
        <w:topLinePunct w:val="0"/>
        <w:autoSpaceDE/>
        <w:autoSpaceDN/>
        <w:bidi w:val="0"/>
        <w:adjustRightInd/>
        <w:snapToGrid/>
        <w:spacing w:line="240" w:lineRule="auto"/>
        <w:ind w:firstLine="1400" w:firstLineChars="5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采购人：内蒙古蒙牛乳业(集团)股份有限公司</w:t>
      </w:r>
    </w:p>
    <w:p w14:paraId="30DBB2B9">
      <w:pPr>
        <w:keepNext w:val="0"/>
        <w:keepLines w:val="0"/>
        <w:pageBreakBefore w:val="0"/>
        <w:widowControl w:val="0"/>
        <w:kinsoku/>
        <w:wordWrap/>
        <w:overflowPunct/>
        <w:topLinePunct w:val="0"/>
        <w:autoSpaceDE/>
        <w:autoSpaceDN/>
        <w:bidi w:val="0"/>
        <w:adjustRightInd/>
        <w:snapToGrid/>
        <w:spacing w:line="240" w:lineRule="auto"/>
        <w:ind w:firstLine="1400" w:firstLineChars="5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招标代理机构：内蒙古华晟工程项目管理有限公司</w:t>
      </w:r>
    </w:p>
    <w:p w14:paraId="7697CD2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14:paraId="5F4610C5">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6C0A0F55">
      <w:pPr>
        <w:keepNext w:val="0"/>
        <w:keepLines w:val="0"/>
        <w:pageBreakBefore w:val="0"/>
        <w:kinsoku/>
        <w:wordWrap/>
        <w:topLinePunct w:val="0"/>
        <w:bidi w:val="0"/>
        <w:adjustRightInd w:val="0"/>
        <w:snapToGrid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5B40BAD4">
      <w:pPr>
        <w:keepNext w:val="0"/>
        <w:keepLines w:val="0"/>
        <w:pageBreakBefore w:val="0"/>
        <w:kinsoku/>
        <w:wordWrap/>
        <w:topLinePunct w:val="0"/>
        <w:bidi w:val="0"/>
        <w:spacing w:line="240" w:lineRule="auto"/>
        <w:ind w:firstLine="3373" w:firstLineChars="12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747CDAC7">
      <w:pPr>
        <w:keepNext w:val="0"/>
        <w:keepLines w:val="0"/>
        <w:pageBreakBefore w:val="0"/>
        <w:kinsoku/>
        <w:wordWrap/>
        <w:topLinePunct w:val="0"/>
        <w:bidi w:val="0"/>
        <w:spacing w:line="240" w:lineRule="auto"/>
        <w:jc w:val="left"/>
        <w:rPr>
          <w:rFonts w:hint="eastAsia" w:ascii="仿宋" w:hAnsi="仿宋" w:eastAsia="仿宋" w:cs="仿宋"/>
          <w:b/>
          <w:sz w:val="28"/>
          <w:szCs w:val="28"/>
          <w:highlight w:val="none"/>
        </w:rPr>
      </w:pPr>
    </w:p>
    <w:p w14:paraId="74BD9A47">
      <w:pPr>
        <w:keepNext w:val="0"/>
        <w:keepLines w:val="0"/>
        <w:pageBreakBefore w:val="0"/>
        <w:kinsoku/>
        <w:wordWrap/>
        <w:topLinePunct w:val="0"/>
        <w:bidi w:val="0"/>
        <w:spacing w:line="240" w:lineRule="auto"/>
        <w:ind w:firstLine="826" w:firstLineChars="295"/>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62EDBC63">
      <w:pPr>
        <w:keepNext w:val="0"/>
        <w:keepLines w:val="0"/>
        <w:pageBreakBefore w:val="0"/>
        <w:kinsoku/>
        <w:wordWrap/>
        <w:topLinePunct w:val="0"/>
        <w:bidi w:val="0"/>
        <w:spacing w:line="240" w:lineRule="auto"/>
        <w:ind w:firstLine="826" w:firstLineChars="29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0F6B40DB">
      <w:pPr>
        <w:keepNext w:val="0"/>
        <w:keepLines w:val="0"/>
        <w:pageBreakBefore w:val="0"/>
        <w:kinsoku/>
        <w:wordWrap/>
        <w:topLinePunct w:val="0"/>
        <w:bidi w:val="0"/>
        <w:spacing w:line="240" w:lineRule="auto"/>
        <w:ind w:firstLine="826" w:firstLineChars="295"/>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7E88A0AB">
      <w:pPr>
        <w:keepNext w:val="0"/>
        <w:keepLines w:val="0"/>
        <w:pageBreakBefore w:val="0"/>
        <w:kinsoku/>
        <w:wordWrap/>
        <w:topLinePunct w:val="0"/>
        <w:bidi w:val="0"/>
        <w:spacing w:line="240" w:lineRule="auto"/>
        <w:ind w:firstLine="826" w:firstLineChars="29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3FEBCE0">
      <w:pPr>
        <w:keepNext w:val="0"/>
        <w:keepLines w:val="0"/>
        <w:pageBreakBefore w:val="0"/>
        <w:kinsoku/>
        <w:wordWrap/>
        <w:topLinePunct w:val="0"/>
        <w:bidi w:val="0"/>
        <w:spacing w:line="240" w:lineRule="auto"/>
        <w:ind w:firstLine="826" w:firstLineChars="29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2E23AB83">
      <w:pPr>
        <w:keepNext w:val="0"/>
        <w:keepLines w:val="0"/>
        <w:pageBreakBefore w:val="0"/>
        <w:kinsoku/>
        <w:wordWrap/>
        <w:topLinePunct w:val="0"/>
        <w:bidi w:val="0"/>
        <w:spacing w:line="240" w:lineRule="auto"/>
        <w:ind w:left="708" w:leftChars="337" w:firstLine="1"/>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73902DA2">
      <w:pPr>
        <w:keepNext w:val="0"/>
        <w:keepLines w:val="0"/>
        <w:pageBreakBefore w:val="0"/>
        <w:kinsoku/>
        <w:wordWrap/>
        <w:topLinePunct w:val="0"/>
        <w:bidi w:val="0"/>
        <w:spacing w:line="240" w:lineRule="auto"/>
        <w:ind w:left="708" w:leftChars="337" w:firstLine="1"/>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50C31596">
      <w:pPr>
        <w:keepNext w:val="0"/>
        <w:keepLines w:val="0"/>
        <w:pageBreakBefore w:val="0"/>
        <w:kinsoku/>
        <w:wordWrap/>
        <w:topLinePunct w:val="0"/>
        <w:bidi w:val="0"/>
        <w:spacing w:line="240" w:lineRule="auto"/>
        <w:ind w:right="1556" w:rightChars="741"/>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4D620D38">
      <w:pPr>
        <w:keepNext w:val="0"/>
        <w:keepLines w:val="0"/>
        <w:pageBreakBefore w:val="0"/>
        <w:kinsoku/>
        <w:wordWrap/>
        <w:topLinePunct w:val="0"/>
        <w:bidi w:val="0"/>
        <w:spacing w:line="240" w:lineRule="auto"/>
        <w:ind w:right="1556" w:rightChars="741"/>
        <w:jc w:val="left"/>
        <w:rPr>
          <w:rFonts w:hint="eastAsia" w:ascii="仿宋" w:hAnsi="仿宋" w:eastAsia="仿宋" w:cs="仿宋"/>
          <w:sz w:val="28"/>
          <w:szCs w:val="28"/>
          <w:highlight w:val="none"/>
        </w:rPr>
      </w:pPr>
    </w:p>
    <w:p w14:paraId="1A359427">
      <w:pPr>
        <w:keepNext w:val="0"/>
        <w:keepLines w:val="0"/>
        <w:pageBreakBefore w:val="0"/>
        <w:kinsoku/>
        <w:wordWrap/>
        <w:topLinePunct w:val="0"/>
        <w:bidi w:val="0"/>
        <w:spacing w:line="240" w:lineRule="auto"/>
        <w:ind w:right="1556" w:rightChars="741"/>
        <w:jc w:val="left"/>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29A4649">
      <w:pPr>
        <w:keepNext w:val="0"/>
        <w:keepLines w:val="0"/>
        <w:pageBreakBefore w:val="0"/>
        <w:kinsoku/>
        <w:wordWrap/>
        <w:topLinePunct w:val="0"/>
        <w:bidi w:val="0"/>
        <w:spacing w:line="240" w:lineRule="auto"/>
        <w:jc w:val="left"/>
        <w:rPr>
          <w:rFonts w:hint="eastAsia" w:ascii="仿宋" w:hAnsi="仿宋" w:eastAsia="仿宋" w:cs="仿宋"/>
          <w:b/>
          <w:kern w:val="0"/>
          <w:sz w:val="28"/>
          <w:szCs w:val="28"/>
          <w:highlight w:val="none"/>
        </w:rPr>
      </w:pP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0"/>
        <w:gridCol w:w="4230"/>
      </w:tblGrid>
      <w:tr w14:paraId="0E55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17" w:type="pct"/>
            <w:shd w:val="clear" w:color="auto" w:fill="auto"/>
          </w:tcPr>
          <w:p w14:paraId="32F2649C">
            <w:pPr>
              <w:keepNext w:val="0"/>
              <w:keepLines w:val="0"/>
              <w:pageBreakBefore w:val="0"/>
              <w:kinsoku/>
              <w:wordWrap/>
              <w:topLinePunct w:val="0"/>
              <w:bidi w:val="0"/>
              <w:spacing w:line="240" w:lineRule="auto"/>
              <w:jc w:val="left"/>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2482" w:type="pct"/>
            <w:shd w:val="clear" w:color="auto" w:fill="auto"/>
          </w:tcPr>
          <w:p w14:paraId="1988DF56">
            <w:pPr>
              <w:keepNext w:val="0"/>
              <w:keepLines w:val="0"/>
              <w:pageBreakBefore w:val="0"/>
              <w:kinsoku/>
              <w:wordWrap/>
              <w:topLinePunct w:val="0"/>
              <w:bidi w:val="0"/>
              <w:spacing w:line="24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7105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2517" w:type="pct"/>
            <w:shd w:val="clear" w:color="auto" w:fill="auto"/>
          </w:tcPr>
          <w:p w14:paraId="54823E53">
            <w:pPr>
              <w:keepNext w:val="0"/>
              <w:keepLines w:val="0"/>
              <w:pageBreakBefore w:val="0"/>
              <w:kinsoku/>
              <w:wordWrap/>
              <w:topLinePunct w:val="0"/>
              <w:bidi w:val="0"/>
              <w:spacing w:line="240" w:lineRule="auto"/>
              <w:jc w:val="left"/>
              <w:rPr>
                <w:rFonts w:hint="eastAsia" w:ascii="仿宋" w:hAnsi="仿宋" w:eastAsia="仿宋" w:cs="仿宋"/>
                <w:b/>
                <w:kern w:val="0"/>
                <w:sz w:val="28"/>
                <w:szCs w:val="28"/>
                <w:highlight w:val="none"/>
              </w:rPr>
            </w:pPr>
          </w:p>
        </w:tc>
        <w:tc>
          <w:tcPr>
            <w:tcW w:w="2482" w:type="pct"/>
            <w:shd w:val="clear" w:color="auto" w:fill="auto"/>
          </w:tcPr>
          <w:p w14:paraId="34301BFB">
            <w:pPr>
              <w:keepNext w:val="0"/>
              <w:keepLines w:val="0"/>
              <w:pageBreakBefore w:val="0"/>
              <w:kinsoku/>
              <w:wordWrap/>
              <w:topLinePunct w:val="0"/>
              <w:bidi w:val="0"/>
              <w:spacing w:line="240" w:lineRule="auto"/>
              <w:jc w:val="left"/>
              <w:rPr>
                <w:rFonts w:hint="eastAsia" w:ascii="仿宋" w:hAnsi="仿宋" w:eastAsia="仿宋" w:cs="仿宋"/>
                <w:b/>
                <w:kern w:val="0"/>
                <w:sz w:val="28"/>
                <w:szCs w:val="28"/>
                <w:highlight w:val="none"/>
              </w:rPr>
            </w:pPr>
          </w:p>
        </w:tc>
      </w:tr>
    </w:tbl>
    <w:p w14:paraId="2A15E111">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p>
    <w:p w14:paraId="756A56B3">
      <w:pPr>
        <w:keepNext w:val="0"/>
        <w:keepLines w:val="0"/>
        <w:pageBreakBefore w:val="0"/>
        <w:kinsoku/>
        <w:wordWrap/>
        <w:topLinePunct w:val="0"/>
        <w:bidi w:val="0"/>
        <w:spacing w:line="240" w:lineRule="auto"/>
        <w:jc w:val="left"/>
        <w:rPr>
          <w:rFonts w:hint="eastAsia" w:ascii="仿宋" w:hAnsi="仿宋" w:eastAsia="仿宋" w:cs="仿宋"/>
          <w:b/>
          <w:kern w:val="0"/>
          <w:sz w:val="28"/>
          <w:szCs w:val="28"/>
          <w:highlight w:val="none"/>
        </w:rPr>
      </w:pPr>
    </w:p>
    <w:p w14:paraId="75D8B680">
      <w:pPr>
        <w:keepNext w:val="0"/>
        <w:keepLines w:val="0"/>
        <w:pageBreakBefore w:val="0"/>
        <w:kinsoku/>
        <w:wordWrap/>
        <w:topLinePunct w:val="0"/>
        <w:bidi w:val="0"/>
        <w:spacing w:line="240" w:lineRule="auto"/>
        <w:ind w:firstLine="2811" w:firstLineChars="1000"/>
        <w:jc w:val="left"/>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546BF094">
      <w:pPr>
        <w:keepNext w:val="0"/>
        <w:keepLines w:val="0"/>
        <w:pageBreakBefore w:val="0"/>
        <w:kinsoku/>
        <w:wordWrap/>
        <w:topLinePunct w:val="0"/>
        <w:bidi w:val="0"/>
        <w:spacing w:line="24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6ED54557">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竞谈项目活动中的一切事宜。</w:t>
      </w:r>
    </w:p>
    <w:p w14:paraId="14959B7A">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5844CF3">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3A4BD55D">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14132EBF">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DF51E77">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39D9E8DE">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792F2EF0">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2A693001">
      <w:pPr>
        <w:keepNext w:val="0"/>
        <w:keepLines w:val="0"/>
        <w:pageBreakBefore w:val="0"/>
        <w:kinsoku/>
        <w:wordWrap/>
        <w:topLinePunct w:val="0"/>
        <w:bidi w:val="0"/>
        <w:spacing w:line="240" w:lineRule="auto"/>
        <w:ind w:left="850" w:leftChars="405" w:firstLine="56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p>
    <w:p w14:paraId="1F141F7D">
      <w:pPr>
        <w:keepNext w:val="0"/>
        <w:keepLines w:val="0"/>
        <w:pageBreakBefore w:val="0"/>
        <w:kinsoku/>
        <w:wordWrap/>
        <w:topLinePunct w:val="0"/>
        <w:bidi w:val="0"/>
        <w:spacing w:line="240" w:lineRule="auto"/>
        <w:ind w:left="850" w:leftChars="405" w:firstLine="569"/>
        <w:jc w:val="left"/>
        <w:rPr>
          <w:rFonts w:hint="eastAsia" w:ascii="仿宋" w:hAnsi="仿宋" w:eastAsia="仿宋" w:cs="仿宋"/>
          <w:sz w:val="28"/>
          <w:szCs w:val="28"/>
          <w:highlight w:val="none"/>
          <w:lang w:val="en-US" w:eastAsia="zh-CN"/>
        </w:rPr>
      </w:pPr>
    </w:p>
    <w:p w14:paraId="50CD733A">
      <w:pPr>
        <w:keepNext w:val="0"/>
        <w:keepLines w:val="0"/>
        <w:pageBreakBefore w:val="0"/>
        <w:kinsoku/>
        <w:wordWrap/>
        <w:topLinePunct w:val="0"/>
        <w:bidi w:val="0"/>
        <w:spacing w:line="240" w:lineRule="auto"/>
        <w:ind w:left="850" w:leftChars="405" w:firstLine="4670" w:firstLineChars="1668"/>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年  月  日    </w:t>
      </w:r>
    </w:p>
    <w:p w14:paraId="5C72F070">
      <w:pPr>
        <w:keepNext w:val="0"/>
        <w:keepLines w:val="0"/>
        <w:pageBreakBefore w:val="0"/>
        <w:kinsoku/>
        <w:wordWrap/>
        <w:topLinePunct w:val="0"/>
        <w:bidi w:val="0"/>
        <w:spacing w:line="240" w:lineRule="auto"/>
        <w:jc w:val="left"/>
        <w:rPr>
          <w:rFonts w:hint="eastAsia" w:ascii="仿宋" w:hAnsi="仿宋" w:eastAsia="仿宋" w:cs="仿宋"/>
          <w:b/>
          <w:bCs/>
          <w:sz w:val="28"/>
          <w:szCs w:val="28"/>
          <w:highlight w:val="none"/>
        </w:rPr>
      </w:pPr>
    </w:p>
    <w:p w14:paraId="24F47081">
      <w:pPr>
        <w:keepNext w:val="0"/>
        <w:keepLines w:val="0"/>
        <w:pageBreakBefore w:val="0"/>
        <w:kinsoku/>
        <w:wordWrap/>
        <w:topLinePunct w:val="0"/>
        <w:bidi w:val="0"/>
        <w:spacing w:line="240" w:lineRule="auto"/>
        <w:jc w:val="left"/>
        <w:rPr>
          <w:rFonts w:hint="eastAsia" w:ascii="仿宋" w:hAnsi="仿宋" w:eastAsia="仿宋" w:cs="仿宋"/>
          <w:b/>
          <w:bCs/>
          <w:sz w:val="28"/>
          <w:szCs w:val="28"/>
          <w:highlight w:val="none"/>
        </w:rPr>
      </w:pPr>
    </w:p>
    <w:p w14:paraId="462B42C1">
      <w:pPr>
        <w:keepNext w:val="0"/>
        <w:keepLines w:val="0"/>
        <w:pageBreakBefore w:val="0"/>
        <w:kinsoku/>
        <w:wordWrap/>
        <w:topLinePunct w:val="0"/>
        <w:bidi w:val="0"/>
        <w:spacing w:line="240" w:lineRule="auto"/>
        <w:jc w:val="left"/>
        <w:rPr>
          <w:rFonts w:hint="eastAsia" w:ascii="仿宋" w:hAnsi="仿宋" w:eastAsia="仿宋" w:cs="仿宋"/>
          <w:b/>
          <w:bCs/>
          <w:sz w:val="28"/>
          <w:szCs w:val="28"/>
          <w:highlight w:val="none"/>
        </w:rPr>
      </w:pPr>
    </w:p>
    <w:p w14:paraId="53E67755">
      <w:pPr>
        <w:keepNext w:val="0"/>
        <w:keepLines w:val="0"/>
        <w:pageBreakBefore w:val="0"/>
        <w:kinsoku/>
        <w:wordWrap/>
        <w:topLinePunct w:val="0"/>
        <w:bidi w:val="0"/>
        <w:spacing w:line="240" w:lineRule="auto"/>
        <w:jc w:val="left"/>
        <w:rPr>
          <w:rFonts w:hint="eastAsia" w:ascii="仿宋" w:hAnsi="仿宋" w:eastAsia="仿宋" w:cs="仿宋"/>
          <w:b/>
          <w:bCs/>
          <w:sz w:val="28"/>
          <w:szCs w:val="28"/>
          <w:highlight w:val="none"/>
        </w:rPr>
      </w:pPr>
    </w:p>
    <w:p w14:paraId="331C7E49">
      <w:pPr>
        <w:keepNext w:val="0"/>
        <w:keepLines w:val="0"/>
        <w:pageBreakBefore w:val="0"/>
        <w:kinsoku/>
        <w:wordWrap/>
        <w:topLinePunct w:val="0"/>
        <w:bidi w:val="0"/>
        <w:spacing w:line="240" w:lineRule="auto"/>
        <w:jc w:val="left"/>
        <w:rPr>
          <w:rFonts w:hint="eastAsia" w:ascii="仿宋" w:hAnsi="仿宋" w:eastAsia="仿宋" w:cs="仿宋"/>
          <w:b/>
          <w:bCs/>
          <w:sz w:val="28"/>
          <w:szCs w:val="28"/>
          <w:highlight w:val="none"/>
        </w:rPr>
      </w:pPr>
    </w:p>
    <w:p w14:paraId="4CD2C3DC">
      <w:pPr>
        <w:keepNext w:val="0"/>
        <w:keepLines w:val="0"/>
        <w:pageBreakBefore w:val="0"/>
        <w:kinsoku/>
        <w:wordWrap/>
        <w:topLinePunct w:val="0"/>
        <w:bidi w:val="0"/>
        <w:spacing w:line="240" w:lineRule="auto"/>
        <w:jc w:val="left"/>
        <w:rPr>
          <w:rFonts w:hint="eastAsia" w:ascii="仿宋" w:hAnsi="仿宋" w:eastAsia="仿宋" w:cs="仿宋"/>
          <w:b/>
          <w:bCs/>
          <w:sz w:val="28"/>
          <w:szCs w:val="28"/>
          <w:highlight w:val="none"/>
        </w:rPr>
      </w:pPr>
    </w:p>
    <w:p w14:paraId="14CB8234">
      <w:pPr>
        <w:keepNext w:val="0"/>
        <w:keepLines w:val="0"/>
        <w:pageBreakBefore w:val="0"/>
        <w:kinsoku/>
        <w:wordWrap/>
        <w:topLinePunct w:val="0"/>
        <w:bidi w:val="0"/>
        <w:spacing w:line="24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80"/>
        <w:gridCol w:w="4140"/>
      </w:tblGrid>
      <w:tr w14:paraId="11798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2570" w:type="pct"/>
          </w:tcPr>
          <w:p w14:paraId="34F455FA">
            <w:pPr>
              <w:keepNext w:val="0"/>
              <w:keepLines w:val="0"/>
              <w:pageBreakBefore w:val="0"/>
              <w:kinsoku/>
              <w:wordWrap/>
              <w:topLinePunct w:val="0"/>
              <w:bidi w:val="0"/>
              <w:spacing w:line="240" w:lineRule="auto"/>
              <w:ind w:left="128" w:leftChars="61"/>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6D1210A5">
            <w:pPr>
              <w:keepNext w:val="0"/>
              <w:keepLines w:val="0"/>
              <w:pageBreakBefore w:val="0"/>
              <w:kinsoku/>
              <w:wordWrap/>
              <w:topLinePunct w:val="0"/>
              <w:bidi w:val="0"/>
              <w:spacing w:line="240" w:lineRule="auto"/>
              <w:ind w:left="128" w:leftChars="61"/>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c>
          <w:tcPr>
            <w:tcW w:w="2429" w:type="pct"/>
          </w:tcPr>
          <w:p w14:paraId="3C41CC61">
            <w:pPr>
              <w:keepNext w:val="0"/>
              <w:keepLines w:val="0"/>
              <w:pageBreakBefore w:val="0"/>
              <w:kinsoku/>
              <w:wordWrap/>
              <w:topLinePunct w:val="0"/>
              <w:bidi w:val="0"/>
              <w:spacing w:line="240" w:lineRule="auto"/>
              <w:ind w:left="128" w:leftChars="61"/>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w:t>
            </w:r>
          </w:p>
          <w:p w14:paraId="65FF6C0E">
            <w:pPr>
              <w:keepNext w:val="0"/>
              <w:keepLines w:val="0"/>
              <w:pageBreakBefore w:val="0"/>
              <w:kinsoku/>
              <w:wordWrap/>
              <w:topLinePunct w:val="0"/>
              <w:bidi w:val="0"/>
              <w:spacing w:line="240" w:lineRule="auto"/>
              <w:ind w:left="128" w:leftChars="61"/>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r>
      <w:tr w14:paraId="4F19E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2570" w:type="pct"/>
          </w:tcPr>
          <w:p w14:paraId="41FC1147">
            <w:pPr>
              <w:keepNext w:val="0"/>
              <w:keepLines w:val="0"/>
              <w:pageBreakBefore w:val="0"/>
              <w:kinsoku/>
              <w:wordWrap/>
              <w:topLinePunct w:val="0"/>
              <w:bidi w:val="0"/>
              <w:spacing w:line="240" w:lineRule="auto"/>
              <w:ind w:left="128" w:leftChars="61"/>
              <w:jc w:val="left"/>
              <w:rPr>
                <w:rFonts w:hint="eastAsia" w:ascii="仿宋" w:hAnsi="仿宋" w:eastAsia="仿宋" w:cs="仿宋"/>
                <w:sz w:val="28"/>
                <w:szCs w:val="28"/>
                <w:highlight w:val="none"/>
              </w:rPr>
            </w:pPr>
          </w:p>
        </w:tc>
        <w:tc>
          <w:tcPr>
            <w:tcW w:w="2429" w:type="pct"/>
          </w:tcPr>
          <w:p w14:paraId="6691DC53">
            <w:pPr>
              <w:keepNext w:val="0"/>
              <w:keepLines w:val="0"/>
              <w:pageBreakBefore w:val="0"/>
              <w:kinsoku/>
              <w:wordWrap/>
              <w:topLinePunct w:val="0"/>
              <w:bidi w:val="0"/>
              <w:spacing w:line="240" w:lineRule="auto"/>
              <w:ind w:left="128" w:leftChars="61"/>
              <w:jc w:val="left"/>
              <w:rPr>
                <w:rFonts w:hint="eastAsia" w:ascii="仿宋" w:hAnsi="仿宋" w:eastAsia="仿宋" w:cs="仿宋"/>
                <w:sz w:val="28"/>
                <w:szCs w:val="28"/>
                <w:highlight w:val="none"/>
              </w:rPr>
            </w:pPr>
          </w:p>
        </w:tc>
      </w:tr>
    </w:tbl>
    <w:p w14:paraId="35AA98F9">
      <w:pPr>
        <w:keepNext w:val="0"/>
        <w:keepLines w:val="0"/>
        <w:pageBreakBefore w:val="0"/>
        <w:kinsoku/>
        <w:wordWrap/>
        <w:topLinePunct w:val="0"/>
        <w:bidi w:val="0"/>
        <w:spacing w:line="240" w:lineRule="auto"/>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03B2CF06">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（要求：1、具备社保局出具的材料；2、具备本单位名称及授权委托人姓名，近一年）</w:t>
      </w:r>
    </w:p>
    <w:p w14:paraId="039050B3">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7D5E4476">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7CFE1436">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2A07E5BD">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35D8809F">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52D5A5E5">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1B997B0E">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77052FE9">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52EF7AB2">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7DC2FAA0">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5D74C1AC">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2720D3C6">
      <w:pPr>
        <w:pStyle w:val="10"/>
        <w:keepNext w:val="0"/>
        <w:keepLines w:val="0"/>
        <w:pageBreakBefore w:val="0"/>
        <w:kinsoku/>
        <w:wordWrap/>
        <w:topLinePunct w:val="0"/>
        <w:bidi w:val="0"/>
        <w:spacing w:after="0" w:line="240" w:lineRule="auto"/>
        <w:ind w:left="0" w:leftChars="0" w:firstLine="0" w:firstLineChars="0"/>
        <w:jc w:val="left"/>
        <w:rPr>
          <w:rFonts w:hint="eastAsia" w:ascii="仿宋" w:hAnsi="仿宋" w:eastAsia="仿宋" w:cs="仿宋"/>
          <w:sz w:val="28"/>
          <w:szCs w:val="28"/>
          <w:highlight w:val="none"/>
        </w:rPr>
      </w:pPr>
    </w:p>
    <w:p w14:paraId="13628607">
      <w:pPr>
        <w:keepNext w:val="0"/>
        <w:keepLines w:val="0"/>
        <w:pageBreakBefore w:val="0"/>
        <w:kinsoku/>
        <w:wordWrap/>
        <w:topLinePunct w:val="0"/>
        <w:bidi w:val="0"/>
        <w:spacing w:line="240" w:lineRule="auto"/>
        <w:jc w:val="lef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附件2</w:t>
      </w:r>
    </w:p>
    <w:p w14:paraId="13AC4CC3">
      <w:pPr>
        <w:keepNext w:val="0"/>
        <w:keepLines w:val="0"/>
        <w:pageBreakBefore w:val="0"/>
        <w:kinsoku/>
        <w:wordWrap/>
        <w:topLinePunct w:val="0"/>
        <w:bidi w:val="0"/>
        <w:spacing w:line="240" w:lineRule="auto"/>
        <w:ind w:firstLine="2249" w:firstLineChars="800"/>
        <w:jc w:val="left"/>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53F6162D">
      <w:pPr>
        <w:pStyle w:val="2"/>
        <w:keepNext w:val="0"/>
        <w:keepLines w:val="0"/>
        <w:pageBreakBefore w:val="0"/>
        <w:kinsoku/>
        <w:wordWrap/>
        <w:overflowPunct w:val="0"/>
        <w:topLinePunct w:val="0"/>
        <w:bidi w:val="0"/>
        <w:spacing w:line="240" w:lineRule="auto"/>
        <w:ind w:left="5250"/>
        <w:jc w:val="left"/>
        <w:rPr>
          <w:rFonts w:hint="eastAsia" w:ascii="仿宋" w:hAnsi="仿宋" w:eastAsia="仿宋" w:cs="仿宋"/>
          <w:sz w:val="28"/>
          <w:szCs w:val="28"/>
          <w:highlight w:val="none"/>
        </w:rPr>
      </w:pPr>
    </w:p>
    <w:p w14:paraId="4B5988CC">
      <w:pPr>
        <w:pStyle w:val="2"/>
        <w:keepNext w:val="0"/>
        <w:keepLines w:val="0"/>
        <w:pageBreakBefore w:val="0"/>
        <w:kinsoku/>
        <w:wordWrap/>
        <w:overflowPunct w:val="0"/>
        <w:topLinePunct w:val="0"/>
        <w:autoSpaceDE w:val="0"/>
        <w:autoSpaceDN w:val="0"/>
        <w:bidi w:val="0"/>
        <w:adjustRightInd w:val="0"/>
        <w:spacing w:line="24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3F1E0DE5">
      <w:pPr>
        <w:pStyle w:val="2"/>
        <w:keepNext w:val="0"/>
        <w:keepLines w:val="0"/>
        <w:pageBreakBefore w:val="0"/>
        <w:kinsoku/>
        <w:wordWrap/>
        <w:overflowPunct w:val="0"/>
        <w:topLinePunct w:val="0"/>
        <w:autoSpaceDE w:val="0"/>
        <w:autoSpaceDN w:val="0"/>
        <w:bidi w:val="0"/>
        <w:adjustRightInd w:val="0"/>
        <w:spacing w:line="24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关于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项目(项目编号:            )项目，我公司未采取联合体形式参与本项目竞谈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28118FD2">
      <w:pPr>
        <w:pStyle w:val="2"/>
        <w:keepNext w:val="0"/>
        <w:keepLines w:val="0"/>
        <w:pageBreakBefore w:val="0"/>
        <w:kinsoku/>
        <w:wordWrap/>
        <w:overflowPunct w:val="0"/>
        <w:topLinePunct w:val="0"/>
        <w:autoSpaceDE w:val="0"/>
        <w:autoSpaceDN w:val="0"/>
        <w:bidi w:val="0"/>
        <w:adjustRightInd w:val="0"/>
        <w:spacing w:line="240" w:lineRule="auto"/>
        <w:ind w:firstLine="560" w:firstLineChars="200"/>
        <w:jc w:val="left"/>
        <w:rPr>
          <w:rFonts w:hint="eastAsia" w:ascii="仿宋" w:hAnsi="仿宋" w:eastAsia="仿宋" w:cs="仿宋"/>
          <w:kern w:val="0"/>
          <w:sz w:val="28"/>
          <w:szCs w:val="28"/>
          <w:highlight w:val="none"/>
        </w:rPr>
      </w:pPr>
    </w:p>
    <w:p w14:paraId="5EE45315">
      <w:pPr>
        <w:pStyle w:val="2"/>
        <w:keepNext w:val="0"/>
        <w:keepLines w:val="0"/>
        <w:pageBreakBefore w:val="0"/>
        <w:kinsoku/>
        <w:wordWrap/>
        <w:overflowPunct w:val="0"/>
        <w:topLinePunct w:val="0"/>
        <w:autoSpaceDE w:val="0"/>
        <w:autoSpaceDN w:val="0"/>
        <w:bidi w:val="0"/>
        <w:adjustRightInd w:val="0"/>
        <w:spacing w:line="240" w:lineRule="auto"/>
        <w:ind w:firstLine="560" w:firstLineChars="200"/>
        <w:jc w:val="left"/>
        <w:rPr>
          <w:rFonts w:hint="eastAsia" w:ascii="仿宋" w:hAnsi="仿宋" w:eastAsia="仿宋" w:cs="仿宋"/>
          <w:kern w:val="0"/>
          <w:sz w:val="28"/>
          <w:szCs w:val="28"/>
          <w:highlight w:val="none"/>
        </w:rPr>
      </w:pPr>
    </w:p>
    <w:p w14:paraId="00B62436">
      <w:pPr>
        <w:pStyle w:val="2"/>
        <w:keepNext w:val="0"/>
        <w:keepLines w:val="0"/>
        <w:pageBreakBefore w:val="0"/>
        <w:kinsoku/>
        <w:wordWrap/>
        <w:overflowPunct w:val="0"/>
        <w:topLinePunct w:val="0"/>
        <w:autoSpaceDE w:val="0"/>
        <w:autoSpaceDN w:val="0"/>
        <w:bidi w:val="0"/>
        <w:adjustRightInd w:val="0"/>
        <w:spacing w:line="24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5BA6D91E">
      <w:pPr>
        <w:pStyle w:val="2"/>
        <w:keepNext w:val="0"/>
        <w:keepLines w:val="0"/>
        <w:pageBreakBefore w:val="0"/>
        <w:kinsoku/>
        <w:wordWrap/>
        <w:overflowPunct w:val="0"/>
        <w:topLinePunct w:val="0"/>
        <w:bidi w:val="0"/>
        <w:spacing w:line="240" w:lineRule="auto"/>
        <w:jc w:val="left"/>
        <w:rPr>
          <w:rFonts w:hint="eastAsia" w:ascii="仿宋" w:hAnsi="仿宋" w:eastAsia="仿宋" w:cs="仿宋"/>
          <w:kern w:val="0"/>
          <w:sz w:val="28"/>
          <w:szCs w:val="28"/>
          <w:highlight w:val="none"/>
        </w:rPr>
      </w:pPr>
    </w:p>
    <w:p w14:paraId="1D19ED95">
      <w:pPr>
        <w:pStyle w:val="2"/>
        <w:keepNext w:val="0"/>
        <w:keepLines w:val="0"/>
        <w:pageBreakBefore w:val="0"/>
        <w:kinsoku/>
        <w:wordWrap/>
        <w:overflowPunct w:val="0"/>
        <w:topLinePunct w:val="0"/>
        <w:bidi w:val="0"/>
        <w:spacing w:line="24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5A00F68D">
      <w:pPr>
        <w:pStyle w:val="2"/>
        <w:keepNext w:val="0"/>
        <w:keepLines w:val="0"/>
        <w:pageBreakBefore w:val="0"/>
        <w:kinsoku/>
        <w:wordWrap/>
        <w:overflowPunct w:val="0"/>
        <w:topLinePunct w:val="0"/>
        <w:bidi w:val="0"/>
        <w:spacing w:line="24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20906DF8">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kern w:val="0"/>
          <w:sz w:val="28"/>
          <w:szCs w:val="28"/>
          <w:highlight w:val="none"/>
        </w:rPr>
      </w:pPr>
    </w:p>
    <w:p w14:paraId="5C9C56C6">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kern w:val="0"/>
          <w:sz w:val="28"/>
          <w:szCs w:val="28"/>
          <w:highlight w:val="none"/>
        </w:rPr>
      </w:pPr>
    </w:p>
    <w:p w14:paraId="1004C4F5">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kern w:val="0"/>
          <w:sz w:val="28"/>
          <w:szCs w:val="28"/>
          <w:highlight w:val="none"/>
        </w:rPr>
      </w:pPr>
    </w:p>
    <w:p w14:paraId="2D0F26A6">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kern w:val="0"/>
          <w:sz w:val="28"/>
          <w:szCs w:val="28"/>
          <w:highlight w:val="none"/>
        </w:rPr>
      </w:pPr>
    </w:p>
    <w:p w14:paraId="18CFB628">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kern w:val="0"/>
          <w:sz w:val="28"/>
          <w:szCs w:val="28"/>
          <w:highlight w:val="none"/>
        </w:rPr>
      </w:pPr>
    </w:p>
    <w:p w14:paraId="377DF2AE">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kern w:val="0"/>
          <w:sz w:val="28"/>
          <w:szCs w:val="28"/>
          <w:highlight w:val="none"/>
        </w:rPr>
      </w:pPr>
    </w:p>
    <w:p w14:paraId="5AEC5810">
      <w:pPr>
        <w:keepNext w:val="0"/>
        <w:keepLines w:val="0"/>
        <w:pageBreakBefore w:val="0"/>
        <w:kinsoku/>
        <w:wordWrap/>
        <w:topLinePunct w:val="0"/>
        <w:bidi w:val="0"/>
        <w:spacing w:line="240" w:lineRule="auto"/>
        <w:jc w:val="left"/>
        <w:rPr>
          <w:rFonts w:hint="eastAsia" w:ascii="仿宋" w:hAnsi="仿宋" w:eastAsia="仿宋" w:cs="仿宋"/>
          <w:b/>
          <w:sz w:val="28"/>
          <w:szCs w:val="28"/>
          <w:highlight w:val="none"/>
        </w:rPr>
      </w:pPr>
    </w:p>
    <w:p w14:paraId="66119FBA">
      <w:pPr>
        <w:keepNext w:val="0"/>
        <w:keepLines w:val="0"/>
        <w:pageBreakBefore w:val="0"/>
        <w:kinsoku/>
        <w:wordWrap/>
        <w:topLinePunct w:val="0"/>
        <w:bidi w:val="0"/>
        <w:spacing w:line="240" w:lineRule="auto"/>
        <w:jc w:val="left"/>
        <w:rPr>
          <w:rFonts w:hint="eastAsia" w:ascii="仿宋" w:hAnsi="仿宋" w:eastAsia="仿宋" w:cs="仿宋"/>
          <w:b/>
          <w:sz w:val="28"/>
          <w:szCs w:val="28"/>
          <w:highlight w:val="none"/>
        </w:rPr>
      </w:pPr>
    </w:p>
    <w:p w14:paraId="4C138EE7">
      <w:pPr>
        <w:keepNext w:val="0"/>
        <w:keepLines w:val="0"/>
        <w:pageBreakBefore w:val="0"/>
        <w:kinsoku/>
        <w:wordWrap/>
        <w:topLinePunct w:val="0"/>
        <w:bidi w:val="0"/>
        <w:spacing w:line="240" w:lineRule="auto"/>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3</w:t>
      </w:r>
    </w:p>
    <w:p w14:paraId="730AB5A1">
      <w:pPr>
        <w:keepNext w:val="0"/>
        <w:keepLines w:val="0"/>
        <w:pageBreakBefore w:val="0"/>
        <w:kinsoku/>
        <w:wordWrap/>
        <w:topLinePunct w:val="0"/>
        <w:bidi w:val="0"/>
        <w:spacing w:line="240" w:lineRule="auto"/>
        <w:ind w:firstLine="3640" w:firstLineChars="1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告知函</w:t>
      </w:r>
    </w:p>
    <w:p w14:paraId="0599EF9F">
      <w:pPr>
        <w:keepNext w:val="0"/>
        <w:keepLines w:val="0"/>
        <w:pageBreakBefore w:val="0"/>
        <w:kinsoku/>
        <w:wordWrap/>
        <w:topLinePunct w:val="0"/>
        <w:bidi w:val="0"/>
        <w:spacing w:before="156" w:beforeLines="50" w:after="156" w:afterLines="50" w:line="240" w:lineRule="auto"/>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 xml:space="preserve"> </w:t>
      </w:r>
    </w:p>
    <w:p w14:paraId="29B3993D">
      <w:pPr>
        <w:keepNext w:val="0"/>
        <w:keepLines w:val="0"/>
        <w:pageBreakBefore w:val="0"/>
        <w:kinsoku/>
        <w:wordWrap/>
        <w:topLinePunct w:val="0"/>
        <w:bidi w:val="0"/>
        <w:spacing w:before="156" w:beforeLines="50" w:after="156" w:afterLines="50" w:line="240" w:lineRule="auto"/>
        <w:ind w:firstLine="562" w:firstLineChars="200"/>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w:t>
      </w:r>
      <w:r>
        <w:rPr>
          <w:rFonts w:hint="eastAsia" w:ascii="仿宋" w:hAnsi="仿宋" w:eastAsia="仿宋" w:cs="仿宋"/>
          <w:b/>
          <w:bCs/>
          <w:sz w:val="28"/>
          <w:szCs w:val="28"/>
          <w:highlight w:val="none"/>
          <w:u w:val="single"/>
          <w:lang w:val="en-US" w:eastAsia="zh-CN"/>
        </w:rPr>
        <w:t>**</w:t>
      </w: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w:t>
      </w:r>
      <w:r>
        <w:rPr>
          <w:rFonts w:hint="eastAsia" w:ascii="仿宋" w:hAnsi="仿宋" w:eastAsia="仿宋" w:cs="仿宋"/>
          <w:b/>
          <w:bCs/>
          <w:sz w:val="28"/>
          <w:szCs w:val="28"/>
          <w:highlight w:val="none"/>
          <w:u w:val="single"/>
          <w:lang w:val="en-US" w:eastAsia="zh-CN"/>
        </w:rPr>
        <w:t>**</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****月</w:t>
      </w:r>
      <w:r>
        <w:rPr>
          <w:rFonts w:hint="eastAsia" w:ascii="仿宋" w:hAnsi="仿宋" w:eastAsia="仿宋" w:cs="仿宋"/>
          <w:b/>
          <w:bCs/>
          <w:sz w:val="28"/>
          <w:szCs w:val="28"/>
          <w:highlight w:val="none"/>
          <w:u w:val="single"/>
        </w:rPr>
        <w:t>**</w:t>
      </w:r>
      <w:r>
        <w:rPr>
          <w:rFonts w:hint="eastAsia" w:ascii="仿宋" w:hAnsi="仿宋" w:eastAsia="仿宋" w:cs="仿宋"/>
          <w:b/>
          <w:bCs/>
          <w:sz w:val="28"/>
          <w:szCs w:val="28"/>
          <w:highlight w:val="none"/>
          <w:u w:val="single"/>
          <w:lang w:val="en-US" w:eastAsia="zh-CN"/>
        </w:rPr>
        <w:t>**</w:t>
      </w:r>
      <w:r>
        <w:rPr>
          <w:rFonts w:hint="eastAsia" w:ascii="仿宋" w:hAnsi="仿宋" w:eastAsia="仿宋" w:cs="仿宋"/>
          <w:b/>
          <w:bCs/>
          <w:sz w:val="28"/>
          <w:szCs w:val="28"/>
          <w:highlight w:val="none"/>
          <w:u w:val="single"/>
        </w:rPr>
        <w:t>日</w:t>
      </w:r>
      <w:r>
        <w:rPr>
          <w:rFonts w:hint="eastAsia" w:ascii="仿宋" w:hAnsi="仿宋" w:eastAsia="仿宋" w:cs="仿宋"/>
          <w:sz w:val="28"/>
          <w:szCs w:val="28"/>
          <w:highlight w:val="none"/>
        </w:rPr>
        <w:t>参加贵方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rPr>
        <w:t xml:space="preserve">(项目编号: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)，并提交下述文件一份：</w:t>
      </w:r>
    </w:p>
    <w:p w14:paraId="5C1F7085">
      <w:pPr>
        <w:keepNext w:val="0"/>
        <w:keepLines w:val="0"/>
        <w:pageBreakBefore w:val="0"/>
        <w:kinsoku/>
        <w:wordWrap/>
        <w:topLinePunct w:val="0"/>
        <w:bidi w:val="0"/>
        <w:spacing w:before="50" w:after="156" w:afterLines="50"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476758B7">
      <w:pPr>
        <w:keepNext w:val="0"/>
        <w:keepLines w:val="0"/>
        <w:pageBreakBefore w:val="0"/>
        <w:tabs>
          <w:tab w:val="left" w:pos="1134"/>
        </w:tabs>
        <w:kinsoku/>
        <w:wordWrap/>
        <w:topLinePunct w:val="0"/>
        <w:bidi w:val="0"/>
        <w:spacing w:line="240" w:lineRule="auto"/>
        <w:ind w:firstLine="560"/>
        <w:jc w:val="left"/>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sz w:val="28"/>
          <w:szCs w:val="28"/>
          <w:highlight w:val="none"/>
          <w:u w:val="single"/>
        </w:rPr>
        <w:t xml:space="preserve">  </w:t>
      </w:r>
      <w:r>
        <w:rPr>
          <w:rFonts w:hint="eastAsia" w:ascii="仿宋" w:hAnsi="仿宋" w:eastAsia="仿宋" w:cs="仿宋"/>
          <w:i/>
          <w:color w:val="FF0000"/>
          <w:sz w:val="28"/>
          <w:szCs w:val="28"/>
          <w:highlight w:val="none"/>
          <w:u w:val="single"/>
        </w:rPr>
        <w:t>（如存在填写人名，如不存在写没有存在）</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2B9F27">
      <w:pPr>
        <w:keepNext w:val="0"/>
        <w:keepLines w:val="0"/>
        <w:pageBreakBefore w:val="0"/>
        <w:kinsoku/>
        <w:wordWrap/>
        <w:topLinePunct w:val="0"/>
        <w:bidi w:val="0"/>
        <w:spacing w:line="240" w:lineRule="auto"/>
        <w:ind w:firstLine="560" w:firstLineChars="200"/>
        <w:jc w:val="left"/>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4E3B317C">
      <w:pPr>
        <w:keepNext w:val="0"/>
        <w:keepLines w:val="0"/>
        <w:pageBreakBefore w:val="0"/>
        <w:kinsoku/>
        <w:wordWrap/>
        <w:topLinePunct w:val="0"/>
        <w:bidi w:val="0"/>
        <w:spacing w:line="240" w:lineRule="auto"/>
        <w:ind w:firstLine="560" w:firstLineChars="200"/>
        <w:jc w:val="left"/>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635C28DD">
      <w:pPr>
        <w:keepNext w:val="0"/>
        <w:keepLines w:val="0"/>
        <w:pageBreakBefore w:val="0"/>
        <w:widowControl/>
        <w:kinsoku/>
        <w:wordWrap/>
        <w:topLinePunct w:val="0"/>
        <w:bidi w:val="0"/>
        <w:spacing w:line="240" w:lineRule="auto"/>
        <w:jc w:val="left"/>
        <w:rPr>
          <w:rFonts w:hint="eastAsia" w:ascii="仿宋" w:hAnsi="仿宋" w:eastAsia="仿宋" w:cs="仿宋"/>
          <w:sz w:val="28"/>
          <w:szCs w:val="28"/>
          <w:highlight w:val="none"/>
          <w:lang w:bidi="ar"/>
        </w:rPr>
      </w:pPr>
      <w:r>
        <w:rPr>
          <w:rFonts w:hint="eastAsia" w:ascii="仿宋" w:hAnsi="仿宋" w:eastAsia="仿宋" w:cs="仿宋"/>
          <w:color w:val="000000"/>
          <w:sz w:val="28"/>
          <w:szCs w:val="28"/>
          <w:highlight w:val="none"/>
          <w:lang w:bidi="ar"/>
        </w:rPr>
        <w:t xml:space="preserve">    日期：</w:t>
      </w:r>
      <w:r>
        <w:rPr>
          <w:rFonts w:hint="eastAsia" w:ascii="仿宋" w:hAnsi="仿宋" w:eastAsia="仿宋" w:cs="仿宋"/>
          <w:sz w:val="28"/>
          <w:szCs w:val="28"/>
          <w:highlight w:val="none"/>
          <w:lang w:bidi="ar"/>
        </w:rPr>
        <w:t xml:space="preserve"> </w:t>
      </w:r>
    </w:p>
    <w:p w14:paraId="7B4D8408">
      <w:pPr>
        <w:keepNext w:val="0"/>
        <w:keepLines w:val="0"/>
        <w:pageBreakBefore w:val="0"/>
        <w:kinsoku/>
        <w:wordWrap/>
        <w:topLinePunct w:val="0"/>
        <w:bidi w:val="0"/>
        <w:spacing w:line="240" w:lineRule="auto"/>
        <w:jc w:val="left"/>
        <w:rPr>
          <w:rFonts w:hint="eastAsia" w:ascii="仿宋" w:hAnsi="仿宋" w:eastAsia="仿宋" w:cs="仿宋"/>
          <w:sz w:val="28"/>
          <w:szCs w:val="28"/>
          <w:highlight w:val="none"/>
          <w:lang w:bidi="ar"/>
        </w:rPr>
      </w:pPr>
    </w:p>
    <w:p w14:paraId="2AB2BAF3">
      <w:pPr>
        <w:keepNext w:val="0"/>
        <w:keepLines w:val="0"/>
        <w:pageBreakBefore w:val="0"/>
        <w:widowControl/>
        <w:kinsoku/>
        <w:wordWrap/>
        <w:topLinePunct w:val="0"/>
        <w:bidi w:val="0"/>
        <w:spacing w:line="240" w:lineRule="auto"/>
        <w:jc w:val="left"/>
        <w:rPr>
          <w:rFonts w:hint="eastAsia" w:ascii="仿宋" w:hAnsi="仿宋" w:eastAsia="仿宋" w:cs="仿宋"/>
          <w:color w:val="A6A6A6" w:themeColor="background1" w:themeShade="A6"/>
          <w:kern w:val="0"/>
          <w:sz w:val="28"/>
          <w:szCs w:val="28"/>
          <w:highlight w:val="none"/>
          <w:lang w:eastAsia="zh-CN" w:bidi="ar"/>
        </w:rPr>
      </w:pPr>
      <w:r>
        <w:rPr>
          <w:rFonts w:hint="eastAsia" w:ascii="仿宋" w:hAnsi="仿宋" w:eastAsia="仿宋" w:cs="仿宋"/>
          <w:color w:val="A6A6A6" w:themeColor="background1" w:themeShade="A6"/>
          <w:kern w:val="0"/>
          <w:sz w:val="28"/>
          <w:szCs w:val="28"/>
          <w:highlight w:val="none"/>
          <w:lang w:eastAsia="zh-CN" w:bidi="ar"/>
        </w:rPr>
        <w:t>（</w:t>
      </w:r>
      <w:r>
        <w:rPr>
          <w:rFonts w:hint="eastAsia" w:ascii="仿宋" w:hAnsi="仿宋" w:eastAsia="仿宋" w:cs="仿宋"/>
          <w:color w:val="A6A6A6" w:themeColor="background1" w:themeShade="A6"/>
          <w:kern w:val="0"/>
          <w:sz w:val="28"/>
          <w:szCs w:val="28"/>
          <w:highlight w:val="none"/>
          <w:lang w:val="en-US" w:eastAsia="zh-CN" w:bidi="ar"/>
        </w:rPr>
        <w:t>仅供参考</w:t>
      </w:r>
      <w:r>
        <w:rPr>
          <w:rFonts w:hint="eastAsia" w:ascii="仿宋" w:hAnsi="仿宋" w:eastAsia="仿宋" w:cs="仿宋"/>
          <w:color w:val="A6A6A6" w:themeColor="background1" w:themeShade="A6"/>
          <w:kern w:val="0"/>
          <w:sz w:val="28"/>
          <w:szCs w:val="28"/>
          <w:highlight w:val="none"/>
          <w:lang w:eastAsia="zh-CN" w:bidi="ar"/>
        </w:rPr>
        <w:t>）</w:t>
      </w:r>
    </w:p>
    <w:p w14:paraId="097CC4B8">
      <w:pPr>
        <w:keepNext w:val="0"/>
        <w:keepLines w:val="0"/>
        <w:pageBreakBefore w:val="0"/>
        <w:widowControl/>
        <w:kinsoku/>
        <w:wordWrap/>
        <w:topLinePunct w:val="0"/>
        <w:bidi w:val="0"/>
        <w:spacing w:line="240" w:lineRule="auto"/>
        <w:jc w:val="left"/>
        <w:rPr>
          <w:rFonts w:hint="eastAsia" w:ascii="仿宋" w:hAnsi="仿宋" w:eastAsia="仿宋" w:cs="仿宋"/>
          <w:b w:val="0"/>
          <w:bCs w:val="0"/>
          <w:sz w:val="28"/>
          <w:szCs w:val="28"/>
          <w:highlight w:val="none"/>
        </w:rPr>
      </w:pPr>
      <w:r>
        <w:rPr>
          <w:rFonts w:hint="eastAsia" w:ascii="仿宋" w:hAnsi="仿宋" w:eastAsia="仿宋" w:cs="仿宋"/>
          <w:b w:val="0"/>
          <w:bCs w:val="0"/>
          <w:kern w:val="0"/>
          <w:sz w:val="28"/>
          <w:szCs w:val="28"/>
          <w:highlight w:val="none"/>
          <w:lang w:bidi="ar"/>
        </w:rPr>
        <w:t>阳光协议</w:t>
      </w:r>
    </w:p>
    <w:p w14:paraId="54EA926D">
      <w:pPr>
        <w:keepNext w:val="0"/>
        <w:keepLines w:val="0"/>
        <w:pageBreakBefore w:val="0"/>
        <w:widowControl/>
        <w:kinsoku/>
        <w:wordWrap/>
        <w:topLinePunct w:val="0"/>
        <w:bidi w:val="0"/>
        <w:spacing w:line="240" w:lineRule="auto"/>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甲方：</w:t>
      </w:r>
      <w:r>
        <w:rPr>
          <w:rFonts w:hint="eastAsia" w:ascii="仿宋" w:hAnsi="仿宋" w:eastAsia="仿宋" w:cs="仿宋"/>
          <w:color w:val="A6A6A6" w:themeColor="background1" w:themeShade="A6"/>
          <w:kern w:val="0"/>
          <w:sz w:val="28"/>
          <w:szCs w:val="28"/>
          <w:highlight w:val="none"/>
          <w:lang w:bidi="ar"/>
        </w:rPr>
        <w:t>内蒙古蒙牛乳业（集团）股份有限公司或其关联的独立法人单位</w:t>
      </w:r>
    </w:p>
    <w:p w14:paraId="488E1106">
      <w:pPr>
        <w:keepNext w:val="0"/>
        <w:keepLines w:val="0"/>
        <w:pageBreakBefore w:val="0"/>
        <w:widowControl/>
        <w:kinsoku/>
        <w:wordWrap/>
        <w:topLinePunct w:val="0"/>
        <w:bidi w:val="0"/>
        <w:spacing w:line="240" w:lineRule="auto"/>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乙方：</w:t>
      </w:r>
    </w:p>
    <w:p w14:paraId="71A54D34">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，订立本协议。本协议是双方所签</w:t>
      </w:r>
    </w:p>
    <w:p w14:paraId="61ABD8E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bidi="ar"/>
        </w:rPr>
        <w:t xml:space="preserve">                              </w:t>
      </w:r>
      <w:r>
        <w:rPr>
          <w:rFonts w:hint="eastAsia" w:ascii="仿宋" w:hAnsi="仿宋" w:eastAsia="仿宋" w:cs="仿宋"/>
          <w:sz w:val="28"/>
          <w:szCs w:val="28"/>
          <w:highlight w:val="none"/>
          <w:lang w:bidi="ar"/>
        </w:rPr>
        <w:t>合同（以下简称“主合同”）的附件，应与主合同同时签订，</w:t>
      </w:r>
      <w:r>
        <w:rPr>
          <w:rFonts w:hint="eastAsia" w:ascii="仿宋" w:hAnsi="仿宋" w:eastAsia="仿宋" w:cs="仿宋"/>
          <w:sz w:val="28"/>
          <w:szCs w:val="28"/>
          <w:highlight w:val="none"/>
        </w:rPr>
        <w:t>共同遵守。</w:t>
      </w:r>
    </w:p>
    <w:p w14:paraId="7D10804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24EE3FA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5019685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50E4420F">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02211E81">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3466811E">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1A9DDD3C">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2C9CA25">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414C0A49">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33A46D0C">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7FF73398">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65EAF73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1440C99">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6BF7B89C">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20A6F1B1">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邮寄地址：内蒙古呼和浩特市和林格尔盛乐经济园区蒙牛乳业奶源楼311室 纪委办公室（收）</w:t>
      </w:r>
    </w:p>
    <w:p w14:paraId="72E72B71">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3A29FCC1">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37BC16FA">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2DAA5FC8">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7489BA21">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7425CA8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776E6A90">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640DEE1E">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442EB3C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p>
    <w:p w14:paraId="13E1559F">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4.乙方保证，在双方合作过程中，未接受甲方离职二年内的管理人员和关键业务人员在其公司参股、控股或任职。</w:t>
      </w:r>
    </w:p>
    <w:p w14:paraId="2BF237A4">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52615DF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6.乙方不得与甲方人员发生任何形式的财物往来，期间包括但不限于合同履约期间。</w:t>
      </w:r>
    </w:p>
    <w:p w14:paraId="3290C2CF">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7.</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71F4E99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29753BEF">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097D87EF">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5AA4F5E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0672CCFC">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E9F58A6">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--非自然年度累计价值在1000元（含）以上、5000元以下</w:t>
      </w:r>
      <w:r>
        <w:rPr>
          <w:rFonts w:hint="eastAsia" w:ascii="仿宋" w:hAnsi="仿宋" w:eastAsia="仿宋" w:cs="仿宋"/>
          <w:kern w:val="0"/>
          <w:sz w:val="28"/>
          <w:szCs w:val="28"/>
          <w:highlight w:val="none"/>
          <w:lang w:val="en-US" w:eastAsia="zh-CN" w:bidi="ar"/>
        </w:rPr>
        <w:t>的</w:t>
      </w:r>
      <w:r>
        <w:rPr>
          <w:rFonts w:hint="eastAsia" w:ascii="仿宋" w:hAnsi="仿宋" w:eastAsia="仿宋" w:cs="仿宋"/>
          <w:kern w:val="0"/>
          <w:sz w:val="28"/>
          <w:szCs w:val="28"/>
          <w:highlight w:val="none"/>
          <w:lang w:bidi="ar"/>
        </w:rPr>
        <w:t>，甲方将情况通报乙方，要求乙方作出说明，同时视情况可以要求乙方按照违约责任支付违约金、减少乙方供货量、暂停业务关系。</w:t>
      </w:r>
    </w:p>
    <w:p w14:paraId="3080480D">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--非自然年度累计价值在5000元（含）以上、3万元以下</w:t>
      </w:r>
      <w:r>
        <w:rPr>
          <w:rFonts w:hint="eastAsia" w:ascii="仿宋" w:hAnsi="仿宋" w:eastAsia="仿宋" w:cs="仿宋"/>
          <w:kern w:val="0"/>
          <w:sz w:val="28"/>
          <w:szCs w:val="28"/>
          <w:highlight w:val="none"/>
          <w:lang w:val="en-US" w:eastAsia="zh-CN" w:bidi="ar"/>
        </w:rPr>
        <w:t>的</w:t>
      </w:r>
      <w:r>
        <w:rPr>
          <w:rFonts w:hint="eastAsia" w:ascii="仿宋" w:hAnsi="仿宋" w:eastAsia="仿宋" w:cs="仿宋"/>
          <w:kern w:val="0"/>
          <w:sz w:val="28"/>
          <w:szCs w:val="28"/>
          <w:highlight w:val="none"/>
          <w:lang w:bidi="ar"/>
        </w:rPr>
        <w:t>，甲方将情况通报乙方，要求乙方作出说明，同时视情况可以要求乙方按照违约责任支付违约金、减少乙方供货量、暂停业务关系，并可以将乙方列入黑名单。</w:t>
      </w:r>
    </w:p>
    <w:p w14:paraId="51B00545">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--非自然年度累计价值在3万元（含）以上</w:t>
      </w:r>
      <w:r>
        <w:rPr>
          <w:rFonts w:hint="eastAsia" w:ascii="仿宋" w:hAnsi="仿宋" w:eastAsia="仿宋" w:cs="仿宋"/>
          <w:kern w:val="0"/>
          <w:sz w:val="28"/>
          <w:szCs w:val="28"/>
          <w:highlight w:val="none"/>
          <w:lang w:val="en-US" w:eastAsia="zh-CN" w:bidi="ar"/>
        </w:rPr>
        <w:t>的</w:t>
      </w:r>
      <w:r>
        <w:rPr>
          <w:rFonts w:hint="eastAsia" w:ascii="仿宋" w:hAnsi="仿宋" w:eastAsia="仿宋" w:cs="仿宋"/>
          <w:kern w:val="0"/>
          <w:sz w:val="28"/>
          <w:szCs w:val="28"/>
          <w:highlight w:val="none"/>
          <w:lang w:bidi="ar"/>
        </w:rPr>
        <w:t>，或采用隐瞒、欺骗等手段严重损害甲方利益的，甲方将情况通报乙方，要求乙方作出说明，同时要求乙方按照违约责任支付违约金，并应当将乙方列入黑名单。</w:t>
      </w:r>
    </w:p>
    <w:p w14:paraId="1EC1C163">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6201579">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3.若乙方存在本协议第三条第1款第3项、第三条第2款第2-6项、第四条“违约责任”第1款第三项</w:t>
      </w:r>
      <w:r>
        <w:rPr>
          <w:rFonts w:hint="eastAsia" w:ascii="仿宋" w:hAnsi="仿宋" w:eastAsia="仿宋" w:cs="仿宋"/>
          <w:kern w:val="0"/>
          <w:sz w:val="28"/>
          <w:szCs w:val="28"/>
          <w:highlight w:val="none"/>
          <w:lang w:eastAsia="zh-Hans" w:bidi="ar"/>
        </w:rPr>
        <w:t>规定的任意一种行为，</w:t>
      </w:r>
      <w:r>
        <w:rPr>
          <w:rFonts w:hint="eastAsia" w:ascii="仿宋" w:hAnsi="仿宋" w:eastAsia="仿宋" w:cs="仿宋"/>
          <w:kern w:val="0"/>
          <w:sz w:val="28"/>
          <w:szCs w:val="28"/>
          <w:highlight w:val="none"/>
          <w:lang w:bidi="ar"/>
        </w:rPr>
        <w:t>甲方将</w:t>
      </w:r>
      <w:r>
        <w:rPr>
          <w:rFonts w:hint="eastAsia" w:ascii="仿宋" w:hAnsi="仿宋" w:eastAsia="仿宋" w:cs="仿宋"/>
          <w:kern w:val="0"/>
          <w:sz w:val="28"/>
          <w:szCs w:val="28"/>
          <w:highlight w:val="none"/>
          <w:lang w:eastAsia="zh-Hans" w:bidi="ar"/>
        </w:rPr>
        <w:t>以书面通知</w:t>
      </w:r>
      <w:r>
        <w:rPr>
          <w:rFonts w:hint="eastAsia" w:ascii="仿宋" w:hAnsi="仿宋" w:eastAsia="仿宋" w:cs="仿宋"/>
          <w:kern w:val="0"/>
          <w:sz w:val="28"/>
          <w:szCs w:val="28"/>
          <w:highlight w:val="none"/>
          <w:lang w:bidi="ar"/>
        </w:rPr>
        <w:t>形式立即解除主合同，将乙方列入黑名单，并要求乙方</w:t>
      </w:r>
      <w:r>
        <w:rPr>
          <w:rFonts w:hint="eastAsia" w:ascii="仿宋" w:hAnsi="仿宋" w:eastAsia="仿宋" w:cs="仿宋"/>
          <w:kern w:val="0"/>
          <w:sz w:val="28"/>
          <w:szCs w:val="28"/>
          <w:highlight w:val="none"/>
          <w:lang w:eastAsia="zh-Hans" w:bidi="ar"/>
        </w:rPr>
        <w:t>承担以下违约责任：</w:t>
      </w:r>
    </w:p>
    <w:p w14:paraId="3186A1C9">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（1）</w:t>
      </w:r>
      <w:r>
        <w:rPr>
          <w:rFonts w:hint="eastAsia" w:ascii="仿宋" w:hAnsi="仿宋" w:eastAsia="仿宋" w:cs="仿宋"/>
          <w:kern w:val="0"/>
          <w:sz w:val="28"/>
          <w:szCs w:val="28"/>
          <w:highlight w:val="none"/>
          <w:lang w:eastAsia="zh-Hans" w:bidi="ar"/>
        </w:rPr>
        <w:t>按主合同总价款的20%支付违约金。</w:t>
      </w:r>
    </w:p>
    <w:p w14:paraId="483660E1">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无主合同总价款的按照已发生业务总额的20%支付违约金；无主合同总价款且暂未发生业务的，扣除合同履约保证金。</w:t>
      </w:r>
    </w:p>
    <w:p w14:paraId="1A86AE7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42D1F420">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如乙方未按约定支付违约金，乙方同意并认可使用保证金、预付款、应付款等款项冲抵违约金。</w:t>
      </w:r>
    </w:p>
    <w:p w14:paraId="36814805">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1450CB27">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7458262F">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1A2F2A5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151020D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2229D5B9">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2EDFBBAD">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68FA3E48">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2D6E6947">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3E7E561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6740181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544C9CE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1847B299">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甲方：（盖章）</w:t>
      </w:r>
    </w:p>
    <w:p w14:paraId="31FAE634">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代表人签字：</w:t>
      </w:r>
    </w:p>
    <w:p w14:paraId="3519FC3E">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49D94FD4">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签字日期：</w:t>
      </w:r>
    </w:p>
    <w:p w14:paraId="5B474138">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14:paraId="52DC27F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代表人签字：</w:t>
      </w:r>
    </w:p>
    <w:p w14:paraId="4CFE5D8D">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011C50B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签字日期：</w:t>
      </w:r>
    </w:p>
    <w:p w14:paraId="6CC970FB">
      <w:pPr>
        <w:pStyle w:val="2"/>
        <w:keepNext w:val="0"/>
        <w:keepLines w:val="0"/>
        <w:pageBreakBefore w:val="0"/>
        <w:kinsoku/>
        <w:wordWrap/>
        <w:topLinePunct w:val="0"/>
        <w:bidi w:val="0"/>
        <w:spacing w:line="240" w:lineRule="auto"/>
        <w:ind w:left="0" w:leftChars="0" w:firstLine="0" w:firstLine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附件4</w:t>
      </w:r>
    </w:p>
    <w:p w14:paraId="49F4F7E8">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保密承诺书</w:t>
      </w:r>
    </w:p>
    <w:p w14:paraId="3D6CA0B8">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b/>
          <w:kern w:val="0"/>
          <w:sz w:val="28"/>
          <w:szCs w:val="28"/>
          <w:highlight w:val="none"/>
        </w:rPr>
      </w:pPr>
    </w:p>
    <w:p w14:paraId="2888A1C1">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490B1EFD">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地址：内蒙古呼和浩特市和林格尔县盛乐经济园区蒙牛总部</w:t>
      </w:r>
    </w:p>
    <w:p w14:paraId="40EC5EAD">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p>
    <w:p w14:paraId="2EFC8B93">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1009EDC4">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638910F4">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p>
    <w:p w14:paraId="33A7230D">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 xml:space="preserve">                                项目</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0D15A8A">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71581959">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9A61C29">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722EC4DC">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00D92DCF">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24EBE725">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2E4B0B4B">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2158110A">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54C639DB">
      <w:pPr>
        <w:pStyle w:val="8"/>
        <w:keepNext w:val="0"/>
        <w:keepLines w:val="0"/>
        <w:pageBreakBefore w:val="0"/>
        <w:kinsoku/>
        <w:wordWrap/>
        <w:topLinePunct w:val="0"/>
        <w:bidi w:val="0"/>
        <w:spacing w:line="240" w:lineRule="auto"/>
        <w:ind w:left="0"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64AB6DCE">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60109323">
      <w:pPr>
        <w:pStyle w:val="8"/>
        <w:keepNext w:val="0"/>
        <w:keepLines w:val="0"/>
        <w:pageBreakBefore w:val="0"/>
        <w:kinsoku/>
        <w:wordWrap/>
        <w:topLinePunct w:val="0"/>
        <w:bidi w:val="0"/>
        <w:spacing w:line="240" w:lineRule="auto"/>
        <w:ind w:left="239" w:leftChars="114" w:firstLine="420" w:firstLineChars="15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4B7C7534">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38CDACB4">
      <w:pPr>
        <w:keepNext w:val="0"/>
        <w:keepLines w:val="0"/>
        <w:pageBreakBefore w:val="0"/>
        <w:kinsoku/>
        <w:wordWrap/>
        <w:topLinePunct w:val="0"/>
        <w:bidi w:val="0"/>
        <w:spacing w:line="240" w:lineRule="auto"/>
        <w:ind w:firstLine="635" w:firstLineChars="227"/>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2878F99">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3DFA570F">
      <w:pPr>
        <w:pStyle w:val="4"/>
        <w:keepNext w:val="0"/>
        <w:keepLines w:val="0"/>
        <w:pageBreakBefore w:val="0"/>
        <w:kinsoku/>
        <w:wordWrap/>
        <w:topLinePunct w:val="0"/>
        <w:bidi w:val="0"/>
        <w:spacing w:line="24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1739D3">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54A6EAD2">
      <w:pPr>
        <w:keepNext w:val="0"/>
        <w:keepLines w:val="0"/>
        <w:pageBreakBefore w:val="0"/>
        <w:kinsoku/>
        <w:wordWrap/>
        <w:topLinePunct w:val="0"/>
        <w:bidi w:val="0"/>
        <w:spacing w:line="24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5683343">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183F0AC0">
      <w:pPr>
        <w:keepNext w:val="0"/>
        <w:keepLines w:val="0"/>
        <w:pageBreakBefore w:val="0"/>
        <w:kinsoku/>
        <w:wordWrap/>
        <w:topLinePunct w:val="0"/>
        <w:bidi w:val="0"/>
        <w:spacing w:line="240" w:lineRule="auto"/>
        <w:ind w:left="1"/>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7CAFFC44">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4A60E1AE">
      <w:pPr>
        <w:keepNext w:val="0"/>
        <w:keepLines w:val="0"/>
        <w:pageBreakBefore w:val="0"/>
        <w:kinsoku/>
        <w:wordWrap/>
        <w:topLinePunct w:val="0"/>
        <w:bidi w:val="0"/>
        <w:spacing w:line="240" w:lineRule="auto"/>
        <w:ind w:left="1" w:leftChars="-266" w:hanging="560" w:hanging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0421BC1">
      <w:pPr>
        <w:keepNext w:val="0"/>
        <w:keepLines w:val="0"/>
        <w:pageBreakBefore w:val="0"/>
        <w:widowControl/>
        <w:kinsoku/>
        <w:wordWrap/>
        <w:topLinePunct w:val="0"/>
        <w:bidi w:val="0"/>
        <w:adjustRightInd w:val="0"/>
        <w:snapToGrid w:val="0"/>
        <w:spacing w:before="156" w:beforeLines="50" w:after="156" w:afterLines="50" w:line="240" w:lineRule="auto"/>
        <w:jc w:val="lef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D03AF95">
      <w:pPr>
        <w:pStyle w:val="4"/>
        <w:keepNext w:val="0"/>
        <w:keepLines w:val="0"/>
        <w:pageBreakBefore w:val="0"/>
        <w:kinsoku/>
        <w:wordWrap/>
        <w:topLinePunct w:val="0"/>
        <w:bidi w:val="0"/>
        <w:spacing w:line="240" w:lineRule="auto"/>
        <w:ind w:firstLine="840" w:firstLineChars="3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14:paraId="7264D46A">
      <w:pPr>
        <w:pStyle w:val="4"/>
        <w:keepNext w:val="0"/>
        <w:keepLines w:val="0"/>
        <w:pageBreakBefore w:val="0"/>
        <w:kinsoku/>
        <w:wordWrap/>
        <w:topLinePunct w:val="0"/>
        <w:bidi w:val="0"/>
        <w:spacing w:line="24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w:t>
      </w:r>
      <w:r>
        <w:rPr>
          <w:rFonts w:hint="eastAsia" w:ascii="仿宋" w:hAnsi="仿宋" w:eastAsia="仿宋" w:cs="仿宋"/>
          <w:color w:val="FF0000"/>
          <w:kern w:val="0"/>
          <w:sz w:val="28"/>
          <w:szCs w:val="28"/>
          <w:highlight w:val="none"/>
        </w:rPr>
        <w:t>说明：保密期限请业务按照实际需求进行约定，建议最低期限不得低于五年。</w:t>
      </w:r>
      <w:r>
        <w:rPr>
          <w:rFonts w:hint="eastAsia" w:ascii="仿宋" w:hAnsi="仿宋" w:eastAsia="仿宋" w:cs="仿宋"/>
          <w:color w:val="000000"/>
          <w:kern w:val="0"/>
          <w:sz w:val="28"/>
          <w:szCs w:val="28"/>
          <w:highlight w:val="none"/>
        </w:rPr>
        <w:t>）</w:t>
      </w:r>
    </w:p>
    <w:p w14:paraId="730C2A12">
      <w:pPr>
        <w:pStyle w:val="2"/>
        <w:keepNext w:val="0"/>
        <w:keepLines w:val="0"/>
        <w:pageBreakBefore w:val="0"/>
        <w:kinsoku/>
        <w:wordWrap/>
        <w:topLinePunct w:val="0"/>
        <w:bidi w:val="0"/>
        <w:spacing w:before="156" w:beforeLines="50" w:after="156" w:afterLines="50" w:line="240" w:lineRule="auto"/>
        <w:jc w:val="left"/>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十、</w:t>
      </w:r>
      <w:r>
        <w:rPr>
          <w:rFonts w:hint="eastAsia" w:ascii="仿宋" w:hAnsi="仿宋" w:eastAsia="仿宋" w:cs="仿宋"/>
          <w:b/>
          <w:color w:val="000000"/>
          <w:sz w:val="28"/>
          <w:szCs w:val="28"/>
          <w:highlight w:val="none"/>
        </w:rPr>
        <w:t>补充条款</w:t>
      </w:r>
    </w:p>
    <w:p w14:paraId="3AC745B9">
      <w:pPr>
        <w:pStyle w:val="2"/>
        <w:keepNext w:val="0"/>
        <w:keepLines w:val="0"/>
        <w:pageBreakBefore w:val="0"/>
        <w:kinsoku/>
        <w:wordWrap/>
        <w:topLinePunct w:val="0"/>
        <w:bidi w:val="0"/>
        <w:spacing w:after="0" w:line="240" w:lineRule="auto"/>
        <w:ind w:firstLine="562" w:firstLineChars="200"/>
        <w:jc w:val="lef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41474CC">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D66D539">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060C0F1F">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4F575BF">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50AA0AA5">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790E6A1B">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99CAD1D">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3BB84EBE">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74E49F2">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72E66BF">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A1F7B63">
      <w:pPr>
        <w:pStyle w:val="2"/>
        <w:keepNext w:val="0"/>
        <w:keepLines w:val="0"/>
        <w:pageBreakBefore w:val="0"/>
        <w:kinsoku/>
        <w:wordWrap/>
        <w:topLinePunct w:val="0"/>
        <w:bidi w:val="0"/>
        <w:spacing w:after="0" w:line="24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44508546">
      <w:pPr>
        <w:pStyle w:val="2"/>
        <w:keepNext w:val="0"/>
        <w:keepLines w:val="0"/>
        <w:pageBreakBefore w:val="0"/>
        <w:kinsoku/>
        <w:wordWrap/>
        <w:topLinePunct w:val="0"/>
        <w:bidi w:val="0"/>
        <w:spacing w:after="0" w:line="240" w:lineRule="auto"/>
        <w:ind w:firstLine="562" w:firstLineChars="200"/>
        <w:jc w:val="lef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7A6FC199">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A78C63F">
      <w:pPr>
        <w:keepNext w:val="0"/>
        <w:keepLines w:val="0"/>
        <w:pageBreakBefore w:val="0"/>
        <w:kinsoku/>
        <w:wordWrap/>
        <w:topLinePunct w:val="0"/>
        <w:bidi w:val="0"/>
        <w:spacing w:line="240" w:lineRule="auto"/>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7C42AF69">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3765EBC">
      <w:pPr>
        <w:pStyle w:val="2"/>
        <w:keepNext w:val="0"/>
        <w:keepLines w:val="0"/>
        <w:pageBreakBefore w:val="0"/>
        <w:kinsoku/>
        <w:wordWrap/>
        <w:topLinePunct w:val="0"/>
        <w:bidi w:val="0"/>
        <w:spacing w:before="156" w:beforeLines="50" w:after="156" w:afterLines="50" w:line="240" w:lineRule="auto"/>
        <w:jc w:val="lef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十一、适用法律</w:t>
      </w:r>
    </w:p>
    <w:p w14:paraId="5E39F9A4">
      <w:pPr>
        <w:keepNext w:val="0"/>
        <w:keepLines w:val="0"/>
        <w:pageBreakBefore w:val="0"/>
        <w:kinsoku/>
        <w:wordWrap/>
        <w:topLinePunct w:val="0"/>
        <w:bidi w:val="0"/>
        <w:spacing w:line="24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二</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种方式解决：</w:t>
      </w:r>
    </w:p>
    <w:p w14:paraId="66DA1367">
      <w:pPr>
        <w:keepNext w:val="0"/>
        <w:keepLines w:val="0"/>
        <w:pageBreakBefore w:val="0"/>
        <w:kinsoku/>
        <w:wordWrap/>
        <w:topLinePunct w:val="0"/>
        <w:bidi w:val="0"/>
        <w:spacing w:line="24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7E24FB10">
      <w:pPr>
        <w:keepNext w:val="0"/>
        <w:keepLines w:val="0"/>
        <w:pageBreakBefore w:val="0"/>
        <w:kinsoku/>
        <w:wordWrap/>
        <w:topLinePunct w:val="0"/>
        <w:bidi w:val="0"/>
        <w:spacing w:line="24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34BDCD9F">
      <w:pPr>
        <w:keepNext w:val="0"/>
        <w:keepLines w:val="0"/>
        <w:pageBreakBefore w:val="0"/>
        <w:kinsoku/>
        <w:wordWrap/>
        <w:topLinePunct w:val="0"/>
        <w:bidi w:val="0"/>
        <w:spacing w:line="240" w:lineRule="auto"/>
        <w:ind w:firstLine="560" w:firstLineChars="200"/>
        <w:jc w:val="left"/>
        <w:rPr>
          <w:rFonts w:hint="eastAsia" w:ascii="仿宋" w:hAnsi="仿宋" w:eastAsia="仿宋" w:cs="仿宋"/>
          <w:color w:val="FF0000"/>
          <w:kern w:val="0"/>
          <w:sz w:val="28"/>
          <w:szCs w:val="28"/>
          <w:highlight w:val="none"/>
        </w:rPr>
      </w:pPr>
      <w:r>
        <w:rPr>
          <w:rFonts w:hint="eastAsia" w:ascii="仿宋" w:hAnsi="仿宋" w:eastAsia="仿宋" w:cs="仿宋"/>
          <w:color w:val="FF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14:paraId="540D2FA3">
      <w:pPr>
        <w:pStyle w:val="2"/>
        <w:keepNext w:val="0"/>
        <w:keepLines w:val="0"/>
        <w:pageBreakBefore w:val="0"/>
        <w:kinsoku/>
        <w:wordWrap/>
        <w:topLinePunct w:val="0"/>
        <w:bidi w:val="0"/>
        <w:spacing w:before="156" w:beforeLines="50" w:after="156" w:afterLines="50" w:line="240" w:lineRule="auto"/>
        <w:jc w:val="lef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十二、违约责任及救济</w:t>
      </w:r>
    </w:p>
    <w:p w14:paraId="6BE179DE">
      <w:pPr>
        <w:keepNext w:val="0"/>
        <w:keepLines w:val="0"/>
        <w:pageBreakBefore w:val="0"/>
        <w:kinsoku/>
        <w:wordWrap/>
        <w:topLinePunct w:val="0"/>
        <w:bidi w:val="0"/>
        <w:spacing w:line="24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5624BD5">
      <w:pPr>
        <w:keepNext w:val="0"/>
        <w:keepLines w:val="0"/>
        <w:pageBreakBefore w:val="0"/>
        <w:kinsoku/>
        <w:wordWrap/>
        <w:topLinePunct w:val="0"/>
        <w:bidi w:val="0"/>
        <w:spacing w:line="240" w:lineRule="auto"/>
        <w:ind w:firstLine="562" w:firstLineChars="200"/>
        <w:jc w:val="left"/>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BBD5E21">
      <w:pPr>
        <w:pStyle w:val="2"/>
        <w:keepNext w:val="0"/>
        <w:keepLines w:val="0"/>
        <w:pageBreakBefore w:val="0"/>
        <w:kinsoku/>
        <w:wordWrap/>
        <w:topLinePunct w:val="0"/>
        <w:bidi w:val="0"/>
        <w:spacing w:before="156" w:beforeLines="50" w:after="156" w:afterLines="50" w:line="240" w:lineRule="auto"/>
        <w:jc w:val="lef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十三、生效及份数</w:t>
      </w:r>
    </w:p>
    <w:p w14:paraId="70D1D2D5">
      <w:pPr>
        <w:pStyle w:val="2"/>
        <w:keepNext w:val="0"/>
        <w:keepLines w:val="0"/>
        <w:pageBreakBefore w:val="0"/>
        <w:kinsoku/>
        <w:wordWrap/>
        <w:topLinePunct w:val="0"/>
        <w:bidi w:val="0"/>
        <w:spacing w:before="156" w:beforeLines="50" w:after="156" w:afterLines="50" w:line="240" w:lineRule="auto"/>
        <w:ind w:firstLine="560" w:firstLineChars="200"/>
        <w:jc w:val="left"/>
        <w:rPr>
          <w:rFonts w:hint="eastAsia" w:ascii="仿宋" w:hAnsi="仿宋" w:eastAsia="仿宋" w:cs="仿宋"/>
          <w:b/>
          <w:bCs/>
          <w:sz w:val="28"/>
          <w:szCs w:val="28"/>
          <w:highlight w:val="none"/>
        </w:rPr>
      </w:pPr>
      <w:r>
        <w:rPr>
          <w:rFonts w:hint="eastAsia" w:ascii="仿宋" w:hAnsi="仿宋" w:eastAsia="仿宋" w:cs="仿宋"/>
          <w:color w:val="000000"/>
          <w:kern w:val="0"/>
          <w:sz w:val="28"/>
          <w:szCs w:val="28"/>
          <w:highlight w:val="none"/>
        </w:rPr>
        <w:t>本承诺书经乙方签字盖章之日起生效。</w:t>
      </w:r>
    </w:p>
    <w:p w14:paraId="239B48C9">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750F4EB3">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16871A01">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04F64D4">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14:paraId="22F9D4EF">
      <w:pPr>
        <w:keepNext w:val="0"/>
        <w:keepLines w:val="0"/>
        <w:pageBreakBefore w:val="0"/>
        <w:widowControl/>
        <w:kinsoku/>
        <w:wordWrap/>
        <w:topLinePunct w:val="0"/>
        <w:bidi w:val="0"/>
        <w:adjustRightInd w:val="0"/>
        <w:snapToGrid w:val="0"/>
        <w:spacing w:line="240" w:lineRule="auto"/>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0678CCAD">
      <w:pPr>
        <w:keepNext w:val="0"/>
        <w:pageBreakBefore w:val="0"/>
        <w:kinsoku/>
        <w:topLinePunct w:val="0"/>
        <w:bidi w:val="0"/>
        <w:spacing w:line="240" w:lineRule="auto"/>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CD185"/>
    <w:multiLevelType w:val="singleLevel"/>
    <w:tmpl w:val="72ACD1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84088"/>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2E52"/>
    <w:rsid w:val="00C731D6"/>
    <w:rsid w:val="00C74CAA"/>
    <w:rsid w:val="00C7598F"/>
    <w:rsid w:val="00CB03B6"/>
    <w:rsid w:val="00CC23B1"/>
    <w:rsid w:val="00CD128A"/>
    <w:rsid w:val="00CD2455"/>
    <w:rsid w:val="00CD64C8"/>
    <w:rsid w:val="00CE1B5A"/>
    <w:rsid w:val="00D04CC7"/>
    <w:rsid w:val="00D059C8"/>
    <w:rsid w:val="00D116D0"/>
    <w:rsid w:val="00D2490F"/>
    <w:rsid w:val="00D34260"/>
    <w:rsid w:val="00D3553D"/>
    <w:rsid w:val="00D61436"/>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1855C14"/>
    <w:rsid w:val="01F32C52"/>
    <w:rsid w:val="02226FAC"/>
    <w:rsid w:val="029167E5"/>
    <w:rsid w:val="041B0A5C"/>
    <w:rsid w:val="04633B6D"/>
    <w:rsid w:val="05373674"/>
    <w:rsid w:val="07595190"/>
    <w:rsid w:val="07C5107C"/>
    <w:rsid w:val="082779D0"/>
    <w:rsid w:val="08D22927"/>
    <w:rsid w:val="096E59C3"/>
    <w:rsid w:val="0A6E5F15"/>
    <w:rsid w:val="0AAA2A79"/>
    <w:rsid w:val="0B593768"/>
    <w:rsid w:val="0CB64524"/>
    <w:rsid w:val="0CF84031"/>
    <w:rsid w:val="0D057DAC"/>
    <w:rsid w:val="0D786F20"/>
    <w:rsid w:val="0D901870"/>
    <w:rsid w:val="0E3776C4"/>
    <w:rsid w:val="0F346E76"/>
    <w:rsid w:val="0FCE72CB"/>
    <w:rsid w:val="10294501"/>
    <w:rsid w:val="10C36D8C"/>
    <w:rsid w:val="11AE12E2"/>
    <w:rsid w:val="12695089"/>
    <w:rsid w:val="12D1335A"/>
    <w:rsid w:val="1319260B"/>
    <w:rsid w:val="138008DC"/>
    <w:rsid w:val="138945B5"/>
    <w:rsid w:val="140735B1"/>
    <w:rsid w:val="1411115B"/>
    <w:rsid w:val="14C111AC"/>
    <w:rsid w:val="151976D5"/>
    <w:rsid w:val="156F29B6"/>
    <w:rsid w:val="15862336"/>
    <w:rsid w:val="15A24B3A"/>
    <w:rsid w:val="15AE7869"/>
    <w:rsid w:val="163C6D3C"/>
    <w:rsid w:val="16543399"/>
    <w:rsid w:val="16FA0730"/>
    <w:rsid w:val="171F0FC2"/>
    <w:rsid w:val="1754026C"/>
    <w:rsid w:val="178D5376"/>
    <w:rsid w:val="17F453F5"/>
    <w:rsid w:val="18A768A2"/>
    <w:rsid w:val="19EC0A79"/>
    <w:rsid w:val="1A061D1D"/>
    <w:rsid w:val="1AF60A21"/>
    <w:rsid w:val="1AFA71C6"/>
    <w:rsid w:val="1B2702E8"/>
    <w:rsid w:val="1B4E4DE8"/>
    <w:rsid w:val="1C9D605B"/>
    <w:rsid w:val="1CC15162"/>
    <w:rsid w:val="1CEB34B2"/>
    <w:rsid w:val="1D092F35"/>
    <w:rsid w:val="1D4D23AA"/>
    <w:rsid w:val="1EE47387"/>
    <w:rsid w:val="1F31210C"/>
    <w:rsid w:val="1F8A4FBC"/>
    <w:rsid w:val="20244A22"/>
    <w:rsid w:val="2043571A"/>
    <w:rsid w:val="2080577E"/>
    <w:rsid w:val="20CE2C87"/>
    <w:rsid w:val="21C15436"/>
    <w:rsid w:val="22034BB2"/>
    <w:rsid w:val="223A6731"/>
    <w:rsid w:val="22F37464"/>
    <w:rsid w:val="23482EEF"/>
    <w:rsid w:val="23FC71CF"/>
    <w:rsid w:val="242157C3"/>
    <w:rsid w:val="26F64AC0"/>
    <w:rsid w:val="28C00E11"/>
    <w:rsid w:val="28D7148D"/>
    <w:rsid w:val="29312005"/>
    <w:rsid w:val="2A3E5421"/>
    <w:rsid w:val="2A890A1C"/>
    <w:rsid w:val="2B5A543E"/>
    <w:rsid w:val="2B8A4ADC"/>
    <w:rsid w:val="2BBD0CF4"/>
    <w:rsid w:val="2BC233DF"/>
    <w:rsid w:val="2CF273D5"/>
    <w:rsid w:val="2CF47E63"/>
    <w:rsid w:val="2D187B9E"/>
    <w:rsid w:val="2F202435"/>
    <w:rsid w:val="2F37575C"/>
    <w:rsid w:val="2F483F47"/>
    <w:rsid w:val="2FE3033A"/>
    <w:rsid w:val="30027516"/>
    <w:rsid w:val="307A6987"/>
    <w:rsid w:val="30FB781C"/>
    <w:rsid w:val="319168E0"/>
    <w:rsid w:val="31961E90"/>
    <w:rsid w:val="31FF220F"/>
    <w:rsid w:val="34017AF8"/>
    <w:rsid w:val="345A01D1"/>
    <w:rsid w:val="348D1FF9"/>
    <w:rsid w:val="34C226AB"/>
    <w:rsid w:val="34C81BFC"/>
    <w:rsid w:val="35580F6E"/>
    <w:rsid w:val="35592838"/>
    <w:rsid w:val="35725E7F"/>
    <w:rsid w:val="357368B4"/>
    <w:rsid w:val="35C277EB"/>
    <w:rsid w:val="37250DEE"/>
    <w:rsid w:val="3A310ECD"/>
    <w:rsid w:val="3A52717C"/>
    <w:rsid w:val="3B96663F"/>
    <w:rsid w:val="3BC24EB4"/>
    <w:rsid w:val="3D3E5B6F"/>
    <w:rsid w:val="3D9B7F3D"/>
    <w:rsid w:val="3DB46C76"/>
    <w:rsid w:val="3DEB04D9"/>
    <w:rsid w:val="3EEC1F3C"/>
    <w:rsid w:val="3F26970F"/>
    <w:rsid w:val="3F6D17D7"/>
    <w:rsid w:val="3F926B94"/>
    <w:rsid w:val="3FF53494"/>
    <w:rsid w:val="41BF1DBB"/>
    <w:rsid w:val="437555CC"/>
    <w:rsid w:val="4383047F"/>
    <w:rsid w:val="43AF49F0"/>
    <w:rsid w:val="464C0730"/>
    <w:rsid w:val="46A3216C"/>
    <w:rsid w:val="473D1BCC"/>
    <w:rsid w:val="478E57A6"/>
    <w:rsid w:val="48FA4CB3"/>
    <w:rsid w:val="4AA25A23"/>
    <w:rsid w:val="4BD016F9"/>
    <w:rsid w:val="4C0977F7"/>
    <w:rsid w:val="4C271F2F"/>
    <w:rsid w:val="4E0B5694"/>
    <w:rsid w:val="4F0A72AC"/>
    <w:rsid w:val="4FA113E3"/>
    <w:rsid w:val="4FF407D2"/>
    <w:rsid w:val="50DC0C94"/>
    <w:rsid w:val="51DA0EB5"/>
    <w:rsid w:val="52A3083E"/>
    <w:rsid w:val="53E251EA"/>
    <w:rsid w:val="549D03EF"/>
    <w:rsid w:val="54CA13DC"/>
    <w:rsid w:val="552F77ED"/>
    <w:rsid w:val="555F0C47"/>
    <w:rsid w:val="56124994"/>
    <w:rsid w:val="56862B3F"/>
    <w:rsid w:val="59A919C7"/>
    <w:rsid w:val="5B3661EC"/>
    <w:rsid w:val="5BD96D67"/>
    <w:rsid w:val="5BF779BC"/>
    <w:rsid w:val="5C8D0E77"/>
    <w:rsid w:val="5FAD37A1"/>
    <w:rsid w:val="654D74AB"/>
    <w:rsid w:val="67955879"/>
    <w:rsid w:val="679677A0"/>
    <w:rsid w:val="69641204"/>
    <w:rsid w:val="6A05798A"/>
    <w:rsid w:val="6ACB0453"/>
    <w:rsid w:val="6B0A39EF"/>
    <w:rsid w:val="6BEF0C80"/>
    <w:rsid w:val="6C1732BE"/>
    <w:rsid w:val="6C4C52F4"/>
    <w:rsid w:val="6DAF2E29"/>
    <w:rsid w:val="6FCB1590"/>
    <w:rsid w:val="70903082"/>
    <w:rsid w:val="709B04B2"/>
    <w:rsid w:val="712F3C12"/>
    <w:rsid w:val="716D6F1F"/>
    <w:rsid w:val="73AE5E19"/>
    <w:rsid w:val="73F717F0"/>
    <w:rsid w:val="73F9347A"/>
    <w:rsid w:val="74562C47"/>
    <w:rsid w:val="74C76C1C"/>
    <w:rsid w:val="75234397"/>
    <w:rsid w:val="77011A99"/>
    <w:rsid w:val="775F555C"/>
    <w:rsid w:val="77744684"/>
    <w:rsid w:val="780D320A"/>
    <w:rsid w:val="788D7EA7"/>
    <w:rsid w:val="7A6A3406"/>
    <w:rsid w:val="7A813FB4"/>
    <w:rsid w:val="7A954A6F"/>
    <w:rsid w:val="7B442D1C"/>
    <w:rsid w:val="7DBA7CAB"/>
    <w:rsid w:val="7F8B173C"/>
    <w:rsid w:val="7FC77A72"/>
    <w:rsid w:val="9AAFCB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360" w:lineRule="auto"/>
      <w:ind w:firstLine="200" w:firstLineChars="200"/>
    </w:pPr>
    <w:rPr>
      <w:rFonts w:eastAsia="微软雅黑"/>
      <w:szCs w:val="22"/>
    </w:rPr>
  </w:style>
  <w:style w:type="paragraph" w:styleId="3">
    <w:name w:val="Normal Indent"/>
    <w:basedOn w:val="1"/>
    <w:unhideWhenUsed/>
    <w:qFormat/>
    <w:uiPriority w:val="99"/>
    <w:pPr>
      <w:ind w:firstLine="420" w:firstLineChars="200"/>
    </w:p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character" w:styleId="13">
    <w:name w:val="Strong"/>
    <w:basedOn w:val="12"/>
    <w:qFormat/>
    <w:uiPriority w:val="22"/>
    <w:rPr>
      <w:b/>
    </w:rPr>
  </w:style>
  <w:style w:type="character" w:styleId="14">
    <w:name w:val="page number"/>
    <w:qFormat/>
    <w:uiPriority w:val="0"/>
  </w:style>
  <w:style w:type="character" w:styleId="15">
    <w:name w:val="Hyperlink"/>
    <w:qFormat/>
    <w:uiPriority w:val="0"/>
    <w:rPr>
      <w:color w:val="0000FF"/>
      <w:u w:val="none"/>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character" w:customStyle="1" w:styleId="18">
    <w:name w:val="批注框文本 字符"/>
    <w:basedOn w:val="12"/>
    <w:link w:val="5"/>
    <w:semiHidden/>
    <w:qFormat/>
    <w:uiPriority w:val="99"/>
    <w:rPr>
      <w:rFonts w:ascii="Times New Roman" w:hAnsi="Times New Roman" w:eastAsia="宋体" w:cs="Times New Roman"/>
      <w:kern w:val="2"/>
      <w:sz w:val="18"/>
      <w:szCs w:val="18"/>
    </w:rPr>
  </w:style>
  <w:style w:type="paragraph" w:styleId="19">
    <w:name w:val="List Paragraph"/>
    <w:basedOn w:val="1"/>
    <w:qFormat/>
    <w:uiPriority w:val="34"/>
    <w:pPr>
      <w:ind w:firstLine="420" w:firstLineChars="200"/>
    </w:pPr>
  </w:style>
  <w:style w:type="character" w:customStyle="1" w:styleId="20">
    <w:name w:val="font11"/>
    <w:basedOn w:val="12"/>
    <w:qFormat/>
    <w:uiPriority w:val="0"/>
    <w:rPr>
      <w:rFonts w:hint="eastAsia" w:ascii="宋体" w:hAnsi="宋体" w:eastAsia="宋体" w:cs="宋体"/>
      <w:color w:val="000000"/>
      <w:sz w:val="16"/>
      <w:szCs w:val="16"/>
      <w:u w:val="none"/>
    </w:rPr>
  </w:style>
  <w:style w:type="character" w:customStyle="1" w:styleId="21">
    <w:name w:val="font41"/>
    <w:basedOn w:val="12"/>
    <w:qFormat/>
    <w:uiPriority w:val="0"/>
    <w:rPr>
      <w:rFonts w:hint="eastAsia" w:ascii="宋体" w:hAnsi="宋体" w:eastAsia="宋体" w:cs="宋体"/>
      <w:b/>
      <w:bCs/>
      <w:color w:val="000000"/>
      <w:sz w:val="18"/>
      <w:szCs w:val="18"/>
      <w:u w:val="none"/>
    </w:rPr>
  </w:style>
  <w:style w:type="character" w:customStyle="1" w:styleId="22">
    <w:name w:val="font71"/>
    <w:basedOn w:val="12"/>
    <w:qFormat/>
    <w:uiPriority w:val="0"/>
    <w:rPr>
      <w:rFonts w:hint="eastAsia" w:ascii="宋体" w:hAnsi="宋体" w:eastAsia="宋体" w:cs="宋体"/>
      <w:b/>
      <w:bCs/>
      <w:color w:val="FF0000"/>
      <w:sz w:val="18"/>
      <w:szCs w:val="18"/>
      <w:u w:val="none"/>
    </w:rPr>
  </w:style>
  <w:style w:type="character" w:customStyle="1" w:styleId="23">
    <w:name w:val="font8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000000"/>
      <w:sz w:val="20"/>
      <w:szCs w:val="20"/>
      <w:u w:val="none"/>
    </w:rPr>
  </w:style>
  <w:style w:type="character" w:customStyle="1" w:styleId="25">
    <w:name w:val="font101"/>
    <w:basedOn w:val="12"/>
    <w:qFormat/>
    <w:uiPriority w:val="0"/>
    <w:rPr>
      <w:rFonts w:hint="eastAsia" w:ascii="宋体" w:hAnsi="宋体" w:eastAsia="宋体" w:cs="宋体"/>
      <w:color w:val="FE0300"/>
      <w:sz w:val="18"/>
      <w:szCs w:val="18"/>
      <w:u w:val="none"/>
    </w:rPr>
  </w:style>
  <w:style w:type="character" w:customStyle="1" w:styleId="26">
    <w:name w:val="font3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10620</Words>
  <Characters>11381</Characters>
  <Lines>22</Lines>
  <Paragraphs>6</Paragraphs>
  <TotalTime>6</TotalTime>
  <ScaleCrop>false</ScaleCrop>
  <LinksUpToDate>false</LinksUpToDate>
  <CharactersWithSpaces>12187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小草地</cp:lastModifiedBy>
  <dcterms:modified xsi:type="dcterms:W3CDTF">2025-08-08T10:00:49Z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eyJoZGlkIjoiNjNjNTNjYTgyNWYzMDVjZjhhOGUyODg3OTJhZTY1ZWMiLCJ1c2VySWQiOiIzMjAwMDgzOTUifQ==</vt:lpwstr>
  </property>
  <property fmtid="{D5CDD505-2E9C-101B-9397-08002B2CF9AE}" pid="4" name="ICV">
    <vt:lpwstr>D7F29C2383A541B2A7EB0BC6FB676F5B_12</vt:lpwstr>
  </property>
</Properties>
</file>