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068DE">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蒙牛乳业2025年度百利包自动装箱机采购项目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蒙牛乳业2025年度百利包自动装箱机采购项目</w:t>
      </w:r>
      <w:r>
        <w:rPr>
          <w:rFonts w:hint="eastAsia" w:ascii="仿宋" w:hAnsi="仿宋" w:eastAsia="仿宋" w:cs="仿宋"/>
          <w:sz w:val="28"/>
          <w:szCs w:val="28"/>
        </w:rPr>
        <w:t>进行竞争性谈判, 欢迎符合资格条件的投标人参加。</w:t>
      </w:r>
    </w:p>
    <w:p w14:paraId="2733890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MNCGJH-20250819-0012</w:t>
      </w:r>
    </w:p>
    <w:p w14:paraId="556ABF4A">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蒙牛乳业2025年度百利包自动装箱机采购项目</w:t>
      </w:r>
    </w:p>
    <w:p w14:paraId="18F9FE52">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152EFDF1">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依据常温事业部2025年市场需求及极简会议决策，计划通过百利包类产品，开发新渠道，占领新市场。承接市场管理中心、销售管理中心的需求，经集中统筹统计，提高采购效率、确保设备统一性与兼容性，对常温所有工厂的百利包装箱机需求进行集中采购。两年内共需求20台百利包装箱机。本次计划马鞍山工厂采购1台、焦作采购1台百利包装箱机，后续根据项目需求按照本次框架协议单价进行实际采购。</w:t>
      </w:r>
    </w:p>
    <w:p w14:paraId="5F077CFD">
      <w:pPr>
        <w:spacing w:line="360" w:lineRule="auto"/>
        <w:ind w:firstLine="562" w:firstLineChars="200"/>
        <w:rPr>
          <w:rFonts w:hint="eastAsia" w:ascii="仿宋" w:hAnsi="仿宋" w:eastAsia="仿宋" w:cs="仿宋"/>
          <w:b/>
          <w:sz w:val="28"/>
          <w:szCs w:val="28"/>
        </w:rPr>
      </w:pPr>
      <w:bookmarkStart w:id="3" w:name="_GoBack"/>
      <w:bookmarkEnd w:id="3"/>
      <w:r>
        <w:rPr>
          <w:rFonts w:hint="eastAsia" w:ascii="仿宋" w:hAnsi="仿宋" w:eastAsia="仿宋" w:cs="仿宋"/>
          <w:b/>
          <w:sz w:val="28"/>
          <w:szCs w:val="28"/>
        </w:rPr>
        <w:t>四、资格要求：</w:t>
      </w:r>
    </w:p>
    <w:p w14:paraId="18FDEC4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 xml:space="preserve">业单位； </w:t>
      </w:r>
    </w:p>
    <w:p w14:paraId="3ED6F5D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eastAsia"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28CAC97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38FCE65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560" w:firstLineChars="200"/>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5、投标人</w:t>
      </w:r>
      <w:r>
        <w:rPr>
          <w:rFonts w:hint="eastAsia" w:ascii="仿宋" w:hAnsi="仿宋" w:eastAsia="仿宋" w:cs="仿宋"/>
          <w:b w:val="0"/>
          <w:bCs/>
          <w:color w:val="000000"/>
          <w:sz w:val="28"/>
          <w:szCs w:val="28"/>
          <w:lang w:eastAsia="zh-CN"/>
        </w:rPr>
        <w:t>近三年（</w:t>
      </w:r>
      <w:r>
        <w:rPr>
          <w:rFonts w:hint="eastAsia" w:ascii="仿宋" w:hAnsi="仿宋" w:eastAsia="仿宋" w:cs="仿宋"/>
          <w:b w:val="0"/>
          <w:bCs/>
          <w:color w:val="000000"/>
          <w:sz w:val="28"/>
          <w:szCs w:val="28"/>
          <w:lang w:val="en-US" w:eastAsia="zh-CN"/>
        </w:rPr>
        <w:t>2022年1月1日</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至今</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须具备两个及以上类似项目业绩（以合同为准）；</w:t>
      </w:r>
    </w:p>
    <w:p w14:paraId="20889E88">
      <w:pPr>
        <w:spacing w:line="360" w:lineRule="auto"/>
        <w:ind w:firstLine="560" w:firstLineChars="200"/>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6、投标人近三年须具有</w:t>
      </w:r>
      <w:r>
        <w:rPr>
          <w:rFonts w:hint="eastAsia" w:ascii="仿宋" w:hAnsi="仿宋" w:eastAsia="仿宋" w:cs="仿宋"/>
          <w:b w:val="0"/>
          <w:bCs/>
          <w:color w:val="000000"/>
          <w:sz w:val="28"/>
          <w:szCs w:val="28"/>
          <w:lang w:eastAsia="zh-CN"/>
        </w:rPr>
        <w:t>良好的财务状况，</w:t>
      </w:r>
      <w:r>
        <w:rPr>
          <w:rFonts w:hint="eastAsia" w:ascii="仿宋" w:hAnsi="仿宋" w:eastAsia="仿宋" w:cs="仿宋"/>
          <w:b w:val="0"/>
          <w:bCs/>
          <w:color w:val="000000"/>
          <w:sz w:val="28"/>
          <w:szCs w:val="28"/>
          <w:lang w:val="en-US" w:eastAsia="zh-CN"/>
        </w:rPr>
        <w:t>投标人近3年须具有（2022年-2024年）财务报表或经过第三方专业审计机构审计的财务报告</w:t>
      </w:r>
      <w:r>
        <w:rPr>
          <w:rFonts w:hint="eastAsia" w:ascii="仿宋" w:hAnsi="仿宋" w:eastAsia="仿宋" w:cs="仿宋"/>
          <w:b w:val="0"/>
          <w:bCs/>
          <w:color w:val="000000"/>
          <w:sz w:val="28"/>
          <w:szCs w:val="28"/>
        </w:rPr>
        <w:t>（新成立企业提供成立年度至投标截止日的财务审计报告或财务报表）</w:t>
      </w:r>
      <w:r>
        <w:rPr>
          <w:rFonts w:hint="eastAsia" w:ascii="仿宋" w:hAnsi="仿宋" w:eastAsia="仿宋" w:cs="仿宋"/>
          <w:b w:val="0"/>
          <w:bCs/>
          <w:color w:val="000000"/>
          <w:sz w:val="28"/>
          <w:szCs w:val="28"/>
          <w:lang w:val="en-US" w:eastAsia="zh-CN"/>
        </w:rPr>
        <w:t>；</w:t>
      </w:r>
    </w:p>
    <w:p w14:paraId="68C002F9">
      <w:pPr>
        <w:spacing w:line="360" w:lineRule="auto"/>
        <w:ind w:firstLine="560" w:firstLineChars="200"/>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7、投标人未被列入</w:t>
      </w:r>
      <w:r>
        <w:rPr>
          <w:rFonts w:hint="eastAsia" w:ascii="仿宋" w:hAnsi="仿宋" w:eastAsia="仿宋" w:cs="仿宋"/>
          <w:b w:val="0"/>
          <w:bCs/>
          <w:color w:val="000000"/>
          <w:sz w:val="28"/>
          <w:szCs w:val="28"/>
          <w:lang w:val="en-US" w:eastAsia="zh-CN"/>
        </w:rPr>
        <w:fldChar w:fldCharType="begin"/>
      </w:r>
      <w:r>
        <w:rPr>
          <w:rFonts w:hint="eastAsia" w:ascii="仿宋" w:hAnsi="仿宋" w:eastAsia="仿宋" w:cs="仿宋"/>
          <w:b w:val="0"/>
          <w:bCs/>
          <w:color w:val="000000"/>
          <w:sz w:val="28"/>
          <w:szCs w:val="28"/>
          <w:lang w:val="en-US" w:eastAsia="zh-CN"/>
        </w:rPr>
        <w:instrText xml:space="preserve"> HYPERLINK "http://www.creditchina.gov.cn）和" \t "_blank" </w:instrText>
      </w:r>
      <w:r>
        <w:rPr>
          <w:rFonts w:hint="eastAsia" w:ascii="仿宋" w:hAnsi="仿宋" w:eastAsia="仿宋" w:cs="仿宋"/>
          <w:b w:val="0"/>
          <w:bCs/>
          <w:color w:val="000000"/>
          <w:sz w:val="28"/>
          <w:szCs w:val="28"/>
          <w:lang w:val="en-US" w:eastAsia="zh-CN"/>
        </w:rPr>
        <w:fldChar w:fldCharType="separate"/>
      </w:r>
      <w:r>
        <w:rPr>
          <w:rFonts w:hint="eastAsia" w:ascii="仿宋" w:hAnsi="仿宋" w:eastAsia="仿宋" w:cs="仿宋"/>
          <w:b w:val="0"/>
          <w:bCs/>
          <w:color w:val="000000"/>
          <w:sz w:val="28"/>
          <w:szCs w:val="28"/>
          <w:lang w:val="en-US" w:eastAsia="zh-CN"/>
        </w:rPr>
        <w:t>“国家企业信用信息公示系统”官网（www.gsxt.gov.cn/index.html）严重违法失信企业名单</w:t>
      </w:r>
      <w:r>
        <w:rPr>
          <w:rFonts w:hint="eastAsia" w:ascii="仿宋" w:hAnsi="仿宋" w:eastAsia="仿宋" w:cs="仿宋"/>
          <w:b w:val="0"/>
          <w:bCs/>
          <w:color w:val="000000"/>
          <w:sz w:val="28"/>
          <w:szCs w:val="28"/>
          <w:lang w:val="en-US" w:eastAsia="zh-CN"/>
        </w:rPr>
        <w:fldChar w:fldCharType="end"/>
      </w:r>
      <w:r>
        <w:rPr>
          <w:rFonts w:hint="eastAsia" w:ascii="仿宋" w:hAnsi="仿宋" w:eastAsia="仿宋" w:cs="仿宋"/>
          <w:b w:val="0"/>
          <w:bCs/>
          <w:color w:val="000000"/>
          <w:sz w:val="28"/>
          <w:szCs w:val="28"/>
          <w:lang w:val="en-US" w:eastAsia="zh-CN"/>
        </w:rPr>
        <w:t>；</w:t>
      </w:r>
    </w:p>
    <w:p w14:paraId="0C27892D">
      <w:pPr>
        <w:spacing w:line="360" w:lineRule="auto"/>
        <w:ind w:firstLine="560" w:firstLineChars="200"/>
        <w:jc w:val="lef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rPr>
        <w:t>本次项目不接受联合体竞谈，不允许分包或转包。</w:t>
      </w:r>
    </w:p>
    <w:p w14:paraId="6C2B7FC5">
      <w:pPr>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9、与采购人存在利害关系可能影响采购招标公正性的法人、其他组</w:t>
      </w:r>
      <w:r>
        <w:rPr>
          <w:rFonts w:hint="eastAsia" w:ascii="仿宋" w:hAnsi="仿宋" w:eastAsia="仿宋" w:cs="仿宋"/>
          <w:b w:val="0"/>
          <w:bCs/>
          <w:color w:val="000000"/>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rPr>
        <w:t>未列入中粮及蒙牛供应商黑名单（以蒙牛集团采购招标管理部下发的黑名单为准）的企业参与竞争；</w:t>
      </w:r>
    </w:p>
    <w:p w14:paraId="73ABB61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36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2024年8月—至今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w:t>
      </w:r>
      <w:r>
        <w:rPr>
          <w:rFonts w:hint="eastAsia" w:ascii="仿宋" w:hAnsi="仿宋" w:eastAsia="仿宋" w:cs="仿宋"/>
          <w:sz w:val="28"/>
          <w:szCs w:val="28"/>
          <w:lang w:val="en-US" w:eastAsia="zh-CN"/>
        </w:rPr>
        <w:t>任意三个月</w:t>
      </w:r>
      <w:r>
        <w:rPr>
          <w:rFonts w:hint="eastAsia" w:ascii="仿宋" w:hAnsi="仿宋" w:eastAsia="仿宋" w:cs="仿宋"/>
          <w:sz w:val="28"/>
          <w:szCs w:val="28"/>
        </w:rPr>
        <w:t>）在本单位的社保证明材料；</w:t>
      </w:r>
    </w:p>
    <w:p w14:paraId="3131CCBC">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8"/>
          <w:szCs w:val="28"/>
        </w:rPr>
        <w:t>；</w:t>
      </w:r>
    </w:p>
    <w:p w14:paraId="5E59E2CF">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近三年（</w:t>
      </w:r>
      <w:r>
        <w:rPr>
          <w:rFonts w:hint="eastAsia" w:ascii="仿宋" w:hAnsi="仿宋" w:eastAsia="仿宋" w:cs="仿宋"/>
          <w:sz w:val="28"/>
          <w:szCs w:val="28"/>
          <w:lang w:val="en-US" w:eastAsia="zh-CN"/>
        </w:rPr>
        <w:t>2022年1月1日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至今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须具备两个及以上类似项目业绩（以合同为准）</w:t>
      </w:r>
      <w:r>
        <w:rPr>
          <w:rFonts w:hint="eastAsia" w:ascii="仿宋" w:hAnsi="仿宋" w:eastAsia="仿宋" w:cs="仿宋"/>
          <w:sz w:val="28"/>
          <w:szCs w:val="28"/>
        </w:rPr>
        <w:t>；</w:t>
      </w:r>
    </w:p>
    <w:p w14:paraId="572DBECF">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提供近三年（2022年—2024年）财务报表或经过第三方专业审计机构审计的财务报告</w:t>
      </w:r>
      <w:r>
        <w:rPr>
          <w:rFonts w:hint="eastAsia" w:ascii="仿宋" w:hAnsi="仿宋" w:eastAsia="仿宋" w:cs="仿宋"/>
          <w:sz w:val="28"/>
          <w:szCs w:val="28"/>
        </w:rPr>
        <w:t>（新成立企业提供成立年度至投标截止日的财务审计报告或财务报表）；</w:t>
      </w:r>
    </w:p>
    <w:p w14:paraId="3AE9A442">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sz w:val="28"/>
          <w:szCs w:val="28"/>
        </w:rPr>
        <w:t>提供未被列入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711CFCC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37E1C53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00元，售后不退（标书款仅对公有效，电汇凭证备注清楚项目名称和单位名称）；</w:t>
      </w:r>
    </w:p>
    <w:p w14:paraId="1E81CC05">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A5C02C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7D47765">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8FD44D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0F585D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中国招标投标公共服务平台（http://www.cebpubservice.com/）</w:t>
      </w:r>
    </w:p>
    <w:p w14:paraId="3EDA3FC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5D0ED5D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D63466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53F5F6B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5A5B625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招标代理机构：内蒙古华晟工程项目管理有限公司</w:t>
      </w:r>
    </w:p>
    <w:p w14:paraId="7113A94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报名联系人：赵慧峰：18647138769  丁桠楠：13847197935、王子刚</w:t>
      </w:r>
    </w:p>
    <w:p w14:paraId="4ED4DB5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联系电话：0471-3957849/4918085分机号8000</w:t>
      </w:r>
    </w:p>
    <w:p w14:paraId="2774CE6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电子邮箱：zhaohuifeng@nmghuasheng.com</w:t>
      </w:r>
    </w:p>
    <w:p w14:paraId="5F020EC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2D022687">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采购方：内蒙古蒙牛乳业（集团）股份有限公司</w:t>
      </w:r>
    </w:p>
    <w:p w14:paraId="79A0C1F8">
      <w:pPr>
        <w:spacing w:line="36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rPr>
        <w:t>业务咨询联系人：</w:t>
      </w:r>
      <w:r>
        <w:rPr>
          <w:rFonts w:hint="eastAsia" w:ascii="仿宋" w:hAnsi="仿宋" w:eastAsia="仿宋" w:cs="仿宋"/>
          <w:b w:val="0"/>
          <w:bCs/>
          <w:sz w:val="28"/>
          <w:szCs w:val="28"/>
          <w:lang w:val="en-US" w:eastAsia="zh-CN"/>
        </w:rPr>
        <w:t>胡瑞</w:t>
      </w:r>
    </w:p>
    <w:p w14:paraId="6651ADCA">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联系方式：15540727677</w:t>
      </w:r>
    </w:p>
    <w:p w14:paraId="1785C3E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spacing w:line="360" w:lineRule="auto"/>
        <w:ind w:right="640" w:firstLine="565" w:firstLineChars="202"/>
        <w:jc w:val="left"/>
        <w:rPr>
          <w:rFonts w:hint="eastAsia" w:ascii="仿宋" w:hAnsi="仿宋" w:eastAsia="仿宋" w:cs="仿宋"/>
          <w:sz w:val="28"/>
          <w:szCs w:val="28"/>
        </w:rPr>
      </w:pPr>
    </w:p>
    <w:p w14:paraId="5EA5DB02">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0C25A218">
      <w:pPr>
        <w:spacing w:line="36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内蒙古华晟工程项目管理有限公司                       </w:t>
      </w:r>
    </w:p>
    <w:p w14:paraId="6167BC4D">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360" w:lineRule="auto"/>
        <w:jc w:val="center"/>
        <w:rPr>
          <w:rFonts w:hint="eastAsia" w:ascii="仿宋" w:hAnsi="仿宋" w:eastAsia="仿宋" w:cs="仿宋"/>
          <w:b/>
          <w:sz w:val="28"/>
          <w:szCs w:val="28"/>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28"/>
          <w:szCs w:val="28"/>
        </w:rPr>
      </w:pPr>
    </w:p>
    <w:p w14:paraId="4D0DCC96">
      <w:pPr>
        <w:jc w:val="center"/>
        <w:rPr>
          <w:rFonts w:hint="eastAsia" w:ascii="仿宋" w:hAnsi="仿宋" w:eastAsia="仿宋" w:cs="仿宋"/>
          <w:b/>
          <w:kern w:val="0"/>
          <w:sz w:val="28"/>
          <w:szCs w:val="28"/>
        </w:rPr>
      </w:pPr>
    </w:p>
    <w:p w14:paraId="6FBB56AE">
      <w:pPr>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蒙牛乳业2025年度百利包自动装箱机采购项目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6"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360" w:lineRule="auto"/>
        <w:jc w:val="center"/>
        <w:rPr>
          <w:rFonts w:hint="eastAsia" w:ascii="仿宋" w:hAnsi="仿宋" w:eastAsia="仿宋" w:cs="仿宋"/>
          <w:i/>
          <w:color w:val="FF0000"/>
          <w:sz w:val="28"/>
          <w:szCs w:val="28"/>
          <w:shd w:val="clear" w:color="auto" w:fill="FFFFFF"/>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蒙牛乳业2025年度百利包自动装箱机采购项目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蒙牛乳业2025年度百利包自动装箱机采购项目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MNCGJH-20250819-0012</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蒙牛乳业2025年度百利包自动装箱机采购项目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MNCGJH-20250819-0012</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2F0F36"/>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2E32BE"/>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040EEC"/>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6D452E"/>
    <w:rsid w:val="5FA654A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7FFF56CA"/>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108"/>
      <w:jc w:val="left"/>
    </w:pPr>
    <w:rPr>
      <w:rFonts w:ascii="仿宋" w:eastAsia="仿宋" w:cs="仿宋"/>
      <w:kern w:val="0"/>
      <w:sz w:val="32"/>
      <w:szCs w:val="32"/>
    </w:rPr>
  </w:style>
  <w:style w:type="paragraph" w:styleId="3">
    <w:name w:val="header"/>
    <w:basedOn w:val="1"/>
    <w:next w:val="4"/>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4">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5">
    <w:name w:val="Normal Indent"/>
    <w:basedOn w:val="1"/>
    <w:qFormat/>
    <w:uiPriority w:val="99"/>
    <w:pPr>
      <w:ind w:firstLine="420"/>
    </w:pPr>
    <w:rPr>
      <w:szCs w:val="20"/>
    </w:rPr>
  </w:style>
  <w:style w:type="paragraph" w:styleId="6">
    <w:name w:val="annotation text"/>
    <w:basedOn w:val="1"/>
    <w:semiHidden/>
    <w:unhideWhenUsed/>
    <w:qFormat/>
    <w:uiPriority w:val="99"/>
    <w:pPr>
      <w:jc w:val="left"/>
    </w:pPr>
  </w:style>
  <w:style w:type="paragraph" w:styleId="7">
    <w:name w:val="Body Text 3"/>
    <w:basedOn w:val="1"/>
    <w:qFormat/>
    <w:uiPriority w:val="0"/>
    <w:pPr>
      <w:jc w:val="left"/>
    </w:pPr>
    <w:rPr>
      <w:b/>
      <w:bCs/>
      <w:sz w:val="32"/>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3"/>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26</Pages>
  <Words>9799</Words>
  <Characters>10492</Characters>
  <Lines>1</Lines>
  <Paragraphs>1</Paragraphs>
  <TotalTime>0</TotalTime>
  <ScaleCrop>false</ScaleCrop>
  <LinksUpToDate>false</LinksUpToDate>
  <CharactersWithSpaces>11451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2025-08-21T00:38:07Z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eyJoZGlkIjoiOTdkNGViYzg2NjNmZTlkYTAyYzNhN2E2Y2ZjMDlkZjAiLCJ1c2VySWQiOiI0OTI0Mjg2MDQifQ==</vt:lpwstr>
  </property>
</Properties>
</file>