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1C13D">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1459284">
      <w:pPr>
        <w:jc w:val="center"/>
        <w:rPr>
          <w:rFonts w:cs="仿宋" w:asciiTheme="minorEastAsia" w:hAnsiTheme="minorEastAsia" w:eastAsiaTheme="minorEastAsia"/>
          <w:b/>
          <w:sz w:val="28"/>
          <w:szCs w:val="28"/>
        </w:rPr>
      </w:pPr>
    </w:p>
    <w:p w14:paraId="05AB8162">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356F912C">
      <w:pPr>
        <w:jc w:val="center"/>
        <w:rPr>
          <w:rFonts w:cs="仿宋" w:asciiTheme="minorEastAsia" w:hAnsiTheme="minorEastAsia" w:eastAsiaTheme="minorEastAsia"/>
          <w:b/>
          <w:sz w:val="10"/>
          <w:szCs w:val="10"/>
        </w:rPr>
      </w:pPr>
    </w:p>
    <w:tbl>
      <w:tblPr>
        <w:tblStyle w:val="6"/>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6ABA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F98D211">
            <w:pPr>
              <w:jc w:val="center"/>
              <w:rPr>
                <w:rFonts w:ascii="宋体" w:hAnsi="宋体" w:cs="仿宋"/>
                <w:b/>
                <w:szCs w:val="21"/>
              </w:rPr>
            </w:pPr>
            <w:r>
              <w:rPr>
                <w:rFonts w:hint="eastAsia" w:ascii="宋体" w:hAnsi="宋体" w:cs="仿宋"/>
                <w:b/>
                <w:szCs w:val="21"/>
              </w:rPr>
              <w:t>序号</w:t>
            </w:r>
          </w:p>
        </w:tc>
        <w:tc>
          <w:tcPr>
            <w:tcW w:w="2399" w:type="dxa"/>
            <w:vAlign w:val="center"/>
          </w:tcPr>
          <w:p w14:paraId="60BF9EE6">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40B6A7CF">
            <w:pPr>
              <w:jc w:val="center"/>
              <w:rPr>
                <w:rFonts w:ascii="宋体" w:hAnsi="宋体" w:cs="仿宋"/>
                <w:b/>
                <w:szCs w:val="21"/>
              </w:rPr>
            </w:pPr>
            <w:r>
              <w:rPr>
                <w:rFonts w:hint="eastAsia" w:ascii="宋体" w:hAnsi="宋体" w:cs="仿宋"/>
                <w:b/>
                <w:szCs w:val="21"/>
              </w:rPr>
              <w:t>标段</w:t>
            </w:r>
          </w:p>
        </w:tc>
        <w:tc>
          <w:tcPr>
            <w:tcW w:w="1538" w:type="dxa"/>
            <w:vAlign w:val="center"/>
          </w:tcPr>
          <w:p w14:paraId="27BFE505">
            <w:pPr>
              <w:jc w:val="center"/>
              <w:rPr>
                <w:rFonts w:ascii="宋体" w:hAnsi="宋体" w:cs="仿宋"/>
                <w:b/>
                <w:szCs w:val="21"/>
              </w:rPr>
            </w:pPr>
            <w:r>
              <w:rPr>
                <w:rFonts w:hint="eastAsia" w:ascii="宋体" w:hAnsi="宋体" w:cs="仿宋"/>
                <w:b/>
                <w:szCs w:val="21"/>
              </w:rPr>
              <w:t>联系人</w:t>
            </w:r>
          </w:p>
        </w:tc>
        <w:tc>
          <w:tcPr>
            <w:tcW w:w="1713" w:type="dxa"/>
            <w:vAlign w:val="center"/>
          </w:tcPr>
          <w:p w14:paraId="3C764266">
            <w:pPr>
              <w:jc w:val="center"/>
              <w:rPr>
                <w:rFonts w:ascii="宋体" w:hAnsi="宋体" w:cs="仿宋"/>
                <w:b/>
                <w:szCs w:val="21"/>
              </w:rPr>
            </w:pPr>
            <w:r>
              <w:rPr>
                <w:rFonts w:hint="eastAsia" w:ascii="宋体" w:hAnsi="宋体" w:cs="仿宋"/>
                <w:b/>
                <w:szCs w:val="21"/>
              </w:rPr>
              <w:t>联系电话</w:t>
            </w:r>
          </w:p>
        </w:tc>
        <w:tc>
          <w:tcPr>
            <w:tcW w:w="1856" w:type="dxa"/>
            <w:vAlign w:val="center"/>
          </w:tcPr>
          <w:p w14:paraId="643F73EA">
            <w:pPr>
              <w:jc w:val="center"/>
              <w:rPr>
                <w:rFonts w:ascii="宋体" w:hAnsi="宋体" w:cs="仿宋"/>
                <w:b/>
                <w:szCs w:val="21"/>
              </w:rPr>
            </w:pPr>
            <w:r>
              <w:rPr>
                <w:rFonts w:hint="eastAsia" w:ascii="宋体" w:hAnsi="宋体" w:cs="仿宋"/>
                <w:b/>
                <w:szCs w:val="21"/>
              </w:rPr>
              <w:t>邮箱地址</w:t>
            </w:r>
          </w:p>
        </w:tc>
      </w:tr>
      <w:tr w14:paraId="7536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73E2269">
            <w:pPr>
              <w:ind w:firstLine="420" w:firstLineChars="200"/>
              <w:jc w:val="left"/>
              <w:rPr>
                <w:rFonts w:ascii="宋体" w:hAnsi="宋体" w:cs="仿宋"/>
                <w:szCs w:val="21"/>
              </w:rPr>
            </w:pPr>
          </w:p>
        </w:tc>
        <w:tc>
          <w:tcPr>
            <w:tcW w:w="2399" w:type="dxa"/>
          </w:tcPr>
          <w:p w14:paraId="105E02D5">
            <w:pPr>
              <w:ind w:firstLine="420" w:firstLineChars="200"/>
              <w:jc w:val="left"/>
              <w:rPr>
                <w:rFonts w:ascii="宋体" w:hAnsi="宋体" w:cs="仿宋"/>
                <w:szCs w:val="21"/>
              </w:rPr>
            </w:pPr>
          </w:p>
        </w:tc>
        <w:tc>
          <w:tcPr>
            <w:tcW w:w="1630" w:type="dxa"/>
          </w:tcPr>
          <w:p w14:paraId="0DE451F6">
            <w:pPr>
              <w:ind w:firstLine="420" w:firstLineChars="200"/>
              <w:jc w:val="left"/>
              <w:rPr>
                <w:rFonts w:ascii="宋体" w:hAnsi="宋体" w:cs="仿宋"/>
                <w:szCs w:val="21"/>
              </w:rPr>
            </w:pPr>
          </w:p>
        </w:tc>
        <w:tc>
          <w:tcPr>
            <w:tcW w:w="1538" w:type="dxa"/>
          </w:tcPr>
          <w:p w14:paraId="30D1D705">
            <w:pPr>
              <w:ind w:firstLine="420" w:firstLineChars="200"/>
              <w:jc w:val="left"/>
              <w:rPr>
                <w:rFonts w:ascii="宋体" w:hAnsi="宋体" w:cs="仿宋"/>
                <w:szCs w:val="21"/>
              </w:rPr>
            </w:pPr>
          </w:p>
        </w:tc>
        <w:tc>
          <w:tcPr>
            <w:tcW w:w="1713" w:type="dxa"/>
          </w:tcPr>
          <w:p w14:paraId="2BABAF7E">
            <w:pPr>
              <w:ind w:firstLine="420" w:firstLineChars="200"/>
              <w:jc w:val="left"/>
              <w:rPr>
                <w:rFonts w:ascii="宋体" w:hAnsi="宋体" w:cs="仿宋"/>
                <w:szCs w:val="21"/>
              </w:rPr>
            </w:pPr>
          </w:p>
        </w:tc>
        <w:tc>
          <w:tcPr>
            <w:tcW w:w="1856" w:type="dxa"/>
          </w:tcPr>
          <w:p w14:paraId="7E4D0D44">
            <w:pPr>
              <w:ind w:firstLine="420" w:firstLineChars="200"/>
              <w:jc w:val="left"/>
              <w:rPr>
                <w:rFonts w:ascii="宋体" w:hAnsi="宋体" w:cs="仿宋"/>
                <w:szCs w:val="21"/>
              </w:rPr>
            </w:pPr>
          </w:p>
        </w:tc>
      </w:tr>
      <w:tr w14:paraId="0458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FB3C4FF">
            <w:pPr>
              <w:ind w:firstLine="420" w:firstLineChars="200"/>
              <w:jc w:val="left"/>
              <w:rPr>
                <w:rFonts w:ascii="宋体" w:hAnsi="宋体" w:cs="仿宋"/>
                <w:szCs w:val="21"/>
              </w:rPr>
            </w:pPr>
          </w:p>
        </w:tc>
        <w:tc>
          <w:tcPr>
            <w:tcW w:w="2399" w:type="dxa"/>
          </w:tcPr>
          <w:p w14:paraId="19D7AEE0">
            <w:pPr>
              <w:ind w:firstLine="420" w:firstLineChars="200"/>
              <w:jc w:val="left"/>
              <w:rPr>
                <w:rFonts w:ascii="宋体" w:hAnsi="宋体" w:cs="仿宋"/>
                <w:szCs w:val="21"/>
              </w:rPr>
            </w:pPr>
          </w:p>
        </w:tc>
        <w:tc>
          <w:tcPr>
            <w:tcW w:w="1630" w:type="dxa"/>
          </w:tcPr>
          <w:p w14:paraId="1012F4E8">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270CA5AD">
            <w:pPr>
              <w:ind w:firstLine="420" w:firstLineChars="200"/>
              <w:jc w:val="left"/>
              <w:rPr>
                <w:rFonts w:ascii="宋体" w:hAnsi="宋体" w:cs="仿宋"/>
                <w:szCs w:val="21"/>
              </w:rPr>
            </w:pPr>
          </w:p>
        </w:tc>
        <w:tc>
          <w:tcPr>
            <w:tcW w:w="1713" w:type="dxa"/>
          </w:tcPr>
          <w:p w14:paraId="000EE6B3">
            <w:pPr>
              <w:ind w:firstLine="420" w:firstLineChars="200"/>
              <w:jc w:val="left"/>
              <w:rPr>
                <w:rFonts w:ascii="宋体" w:hAnsi="宋体" w:cs="仿宋"/>
                <w:szCs w:val="21"/>
              </w:rPr>
            </w:pPr>
          </w:p>
        </w:tc>
        <w:tc>
          <w:tcPr>
            <w:tcW w:w="1856" w:type="dxa"/>
          </w:tcPr>
          <w:p w14:paraId="40DB3A94">
            <w:pPr>
              <w:ind w:firstLine="420" w:firstLineChars="200"/>
              <w:jc w:val="left"/>
              <w:rPr>
                <w:rFonts w:ascii="宋体" w:hAnsi="宋体" w:cs="仿宋"/>
                <w:szCs w:val="21"/>
              </w:rPr>
            </w:pPr>
          </w:p>
        </w:tc>
      </w:tr>
      <w:tr w14:paraId="3B8E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01647B7">
            <w:pPr>
              <w:ind w:firstLine="420" w:firstLineChars="200"/>
              <w:jc w:val="left"/>
              <w:rPr>
                <w:rFonts w:ascii="宋体" w:hAnsi="宋体" w:cs="仿宋"/>
                <w:szCs w:val="21"/>
              </w:rPr>
            </w:pPr>
          </w:p>
        </w:tc>
        <w:tc>
          <w:tcPr>
            <w:tcW w:w="2399" w:type="dxa"/>
          </w:tcPr>
          <w:p w14:paraId="2641A1A5">
            <w:pPr>
              <w:ind w:firstLine="420" w:firstLineChars="200"/>
              <w:jc w:val="left"/>
              <w:rPr>
                <w:rFonts w:ascii="宋体" w:hAnsi="宋体" w:cs="仿宋"/>
                <w:szCs w:val="21"/>
              </w:rPr>
            </w:pPr>
          </w:p>
        </w:tc>
        <w:tc>
          <w:tcPr>
            <w:tcW w:w="1630" w:type="dxa"/>
          </w:tcPr>
          <w:p w14:paraId="1D01D17C">
            <w:pPr>
              <w:ind w:firstLine="420" w:firstLineChars="200"/>
              <w:jc w:val="left"/>
              <w:rPr>
                <w:rFonts w:ascii="宋体" w:hAnsi="宋体" w:cs="仿宋"/>
                <w:szCs w:val="21"/>
              </w:rPr>
            </w:pPr>
          </w:p>
        </w:tc>
        <w:tc>
          <w:tcPr>
            <w:tcW w:w="1538" w:type="dxa"/>
          </w:tcPr>
          <w:p w14:paraId="65A632B4">
            <w:pPr>
              <w:ind w:firstLine="420" w:firstLineChars="200"/>
              <w:jc w:val="left"/>
              <w:rPr>
                <w:rFonts w:ascii="宋体" w:hAnsi="宋体" w:cs="仿宋"/>
                <w:szCs w:val="21"/>
              </w:rPr>
            </w:pPr>
          </w:p>
        </w:tc>
        <w:tc>
          <w:tcPr>
            <w:tcW w:w="1713" w:type="dxa"/>
          </w:tcPr>
          <w:p w14:paraId="326B18A2">
            <w:pPr>
              <w:ind w:firstLine="420" w:firstLineChars="200"/>
              <w:jc w:val="left"/>
              <w:rPr>
                <w:rFonts w:ascii="宋体" w:hAnsi="宋体" w:cs="仿宋"/>
                <w:szCs w:val="21"/>
              </w:rPr>
            </w:pPr>
          </w:p>
        </w:tc>
        <w:tc>
          <w:tcPr>
            <w:tcW w:w="1856" w:type="dxa"/>
          </w:tcPr>
          <w:p w14:paraId="4579128F">
            <w:pPr>
              <w:ind w:firstLine="420" w:firstLineChars="200"/>
              <w:jc w:val="left"/>
              <w:rPr>
                <w:rFonts w:ascii="宋体" w:hAnsi="宋体" w:cs="仿宋"/>
                <w:szCs w:val="21"/>
              </w:rPr>
            </w:pPr>
          </w:p>
        </w:tc>
      </w:tr>
      <w:tr w14:paraId="4D51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8D6A5B9">
            <w:pPr>
              <w:ind w:firstLine="420" w:firstLineChars="200"/>
              <w:jc w:val="left"/>
              <w:rPr>
                <w:rFonts w:ascii="宋体" w:hAnsi="宋体" w:cs="仿宋"/>
                <w:szCs w:val="21"/>
              </w:rPr>
            </w:pPr>
          </w:p>
        </w:tc>
        <w:tc>
          <w:tcPr>
            <w:tcW w:w="2399" w:type="dxa"/>
          </w:tcPr>
          <w:p w14:paraId="46D36492">
            <w:pPr>
              <w:ind w:firstLine="420" w:firstLineChars="200"/>
              <w:jc w:val="left"/>
              <w:rPr>
                <w:rFonts w:ascii="宋体" w:hAnsi="宋体" w:cs="仿宋"/>
                <w:szCs w:val="21"/>
              </w:rPr>
            </w:pPr>
          </w:p>
        </w:tc>
        <w:tc>
          <w:tcPr>
            <w:tcW w:w="1630" w:type="dxa"/>
          </w:tcPr>
          <w:p w14:paraId="660F2399">
            <w:pPr>
              <w:ind w:firstLine="420" w:firstLineChars="200"/>
              <w:jc w:val="left"/>
              <w:rPr>
                <w:rFonts w:ascii="宋体" w:hAnsi="宋体" w:cs="仿宋"/>
                <w:szCs w:val="21"/>
              </w:rPr>
            </w:pPr>
          </w:p>
        </w:tc>
        <w:tc>
          <w:tcPr>
            <w:tcW w:w="1538" w:type="dxa"/>
          </w:tcPr>
          <w:p w14:paraId="028AAF68">
            <w:pPr>
              <w:ind w:firstLine="420" w:firstLineChars="200"/>
              <w:jc w:val="left"/>
              <w:rPr>
                <w:rFonts w:ascii="宋体" w:hAnsi="宋体" w:cs="仿宋"/>
                <w:szCs w:val="21"/>
              </w:rPr>
            </w:pPr>
          </w:p>
        </w:tc>
        <w:tc>
          <w:tcPr>
            <w:tcW w:w="1713" w:type="dxa"/>
          </w:tcPr>
          <w:p w14:paraId="353F0FBC">
            <w:pPr>
              <w:ind w:firstLine="420" w:firstLineChars="200"/>
              <w:jc w:val="left"/>
              <w:rPr>
                <w:rFonts w:ascii="宋体" w:hAnsi="宋体" w:cs="仿宋"/>
                <w:szCs w:val="21"/>
              </w:rPr>
            </w:pPr>
          </w:p>
        </w:tc>
        <w:tc>
          <w:tcPr>
            <w:tcW w:w="1856" w:type="dxa"/>
          </w:tcPr>
          <w:p w14:paraId="61BB82F3">
            <w:pPr>
              <w:ind w:firstLine="420" w:firstLineChars="200"/>
              <w:jc w:val="left"/>
              <w:rPr>
                <w:rFonts w:ascii="宋体" w:hAnsi="宋体" w:cs="仿宋"/>
                <w:szCs w:val="21"/>
              </w:rPr>
            </w:pPr>
          </w:p>
        </w:tc>
      </w:tr>
      <w:tr w14:paraId="0481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9031343">
            <w:pPr>
              <w:ind w:firstLine="420" w:firstLineChars="200"/>
              <w:jc w:val="left"/>
              <w:rPr>
                <w:rFonts w:ascii="宋体" w:hAnsi="宋体" w:cs="仿宋"/>
                <w:szCs w:val="21"/>
              </w:rPr>
            </w:pPr>
          </w:p>
        </w:tc>
        <w:tc>
          <w:tcPr>
            <w:tcW w:w="2399" w:type="dxa"/>
          </w:tcPr>
          <w:p w14:paraId="55F404F0">
            <w:pPr>
              <w:ind w:firstLine="420" w:firstLineChars="200"/>
              <w:jc w:val="left"/>
              <w:rPr>
                <w:rFonts w:ascii="宋体" w:hAnsi="宋体" w:cs="仿宋"/>
                <w:szCs w:val="21"/>
              </w:rPr>
            </w:pPr>
          </w:p>
        </w:tc>
        <w:tc>
          <w:tcPr>
            <w:tcW w:w="1630" w:type="dxa"/>
          </w:tcPr>
          <w:p w14:paraId="06BECC79">
            <w:pPr>
              <w:ind w:firstLine="420" w:firstLineChars="200"/>
              <w:jc w:val="left"/>
              <w:rPr>
                <w:rFonts w:ascii="宋体" w:hAnsi="宋体" w:cs="仿宋"/>
                <w:szCs w:val="21"/>
              </w:rPr>
            </w:pPr>
          </w:p>
        </w:tc>
        <w:tc>
          <w:tcPr>
            <w:tcW w:w="1538" w:type="dxa"/>
          </w:tcPr>
          <w:p w14:paraId="67ACDD7F">
            <w:pPr>
              <w:ind w:firstLine="420" w:firstLineChars="200"/>
              <w:jc w:val="left"/>
              <w:rPr>
                <w:rFonts w:ascii="宋体" w:hAnsi="宋体" w:cs="仿宋"/>
                <w:szCs w:val="21"/>
              </w:rPr>
            </w:pPr>
          </w:p>
        </w:tc>
        <w:tc>
          <w:tcPr>
            <w:tcW w:w="1713" w:type="dxa"/>
          </w:tcPr>
          <w:p w14:paraId="009CFE45">
            <w:pPr>
              <w:ind w:firstLine="420" w:firstLineChars="200"/>
              <w:jc w:val="left"/>
              <w:rPr>
                <w:rFonts w:ascii="宋体" w:hAnsi="宋体" w:cs="仿宋"/>
                <w:szCs w:val="21"/>
              </w:rPr>
            </w:pPr>
          </w:p>
        </w:tc>
        <w:tc>
          <w:tcPr>
            <w:tcW w:w="1856" w:type="dxa"/>
          </w:tcPr>
          <w:p w14:paraId="0A27A54C">
            <w:pPr>
              <w:ind w:firstLine="420" w:firstLineChars="200"/>
              <w:jc w:val="left"/>
              <w:rPr>
                <w:rFonts w:ascii="宋体" w:hAnsi="宋体" w:cs="仿宋"/>
                <w:szCs w:val="21"/>
              </w:rPr>
            </w:pPr>
          </w:p>
        </w:tc>
      </w:tr>
    </w:tbl>
    <w:p w14:paraId="4815C55B">
      <w:pPr>
        <w:ind w:right="640"/>
        <w:jc w:val="right"/>
        <w:rPr>
          <w:rFonts w:ascii="仿宋_GB2312" w:hAnsi="宋体" w:eastAsia="仿宋_GB2312"/>
          <w:color w:val="FF0000"/>
          <w:sz w:val="28"/>
          <w:szCs w:val="28"/>
        </w:rPr>
      </w:pPr>
    </w:p>
    <w:p w14:paraId="03036C0B">
      <w:pPr>
        <w:ind w:right="640"/>
        <w:jc w:val="right"/>
        <w:rPr>
          <w:rFonts w:ascii="仿宋_GB2312" w:hAnsi="宋体" w:eastAsia="仿宋_GB2312"/>
          <w:color w:val="FF0000"/>
          <w:sz w:val="28"/>
          <w:szCs w:val="28"/>
        </w:rPr>
      </w:pPr>
    </w:p>
    <w:p w14:paraId="18A51229">
      <w:pPr>
        <w:ind w:right="640"/>
        <w:jc w:val="right"/>
        <w:rPr>
          <w:rFonts w:ascii="仿宋_GB2312" w:hAnsi="宋体" w:eastAsia="仿宋_GB2312"/>
          <w:color w:val="FF0000"/>
          <w:sz w:val="28"/>
          <w:szCs w:val="28"/>
        </w:rPr>
      </w:pPr>
    </w:p>
    <w:p w14:paraId="5B6A3A39">
      <w:pPr>
        <w:ind w:right="640"/>
        <w:jc w:val="right"/>
        <w:rPr>
          <w:rFonts w:ascii="仿宋_GB2312" w:hAnsi="宋体" w:eastAsia="仿宋_GB2312"/>
          <w:color w:val="FF0000"/>
          <w:sz w:val="28"/>
          <w:szCs w:val="28"/>
        </w:rPr>
      </w:pPr>
    </w:p>
    <w:p w14:paraId="26323B48">
      <w:pPr>
        <w:ind w:right="640"/>
        <w:jc w:val="right"/>
        <w:rPr>
          <w:rFonts w:ascii="仿宋_GB2312" w:hAnsi="宋体" w:eastAsia="仿宋_GB2312"/>
          <w:color w:val="FF0000"/>
          <w:sz w:val="28"/>
          <w:szCs w:val="28"/>
        </w:rPr>
      </w:pPr>
    </w:p>
    <w:p w14:paraId="66EA17F0">
      <w:pPr>
        <w:ind w:right="640"/>
        <w:jc w:val="right"/>
        <w:rPr>
          <w:rFonts w:ascii="仿宋_GB2312" w:hAnsi="宋体" w:eastAsia="仿宋_GB2312"/>
          <w:color w:val="FF0000"/>
          <w:sz w:val="28"/>
          <w:szCs w:val="28"/>
        </w:rPr>
      </w:pPr>
    </w:p>
    <w:p w14:paraId="60729F51">
      <w:pPr>
        <w:ind w:right="640"/>
        <w:jc w:val="right"/>
        <w:rPr>
          <w:rFonts w:ascii="仿宋_GB2312" w:hAnsi="宋体" w:eastAsia="仿宋_GB2312"/>
          <w:color w:val="FF0000"/>
          <w:sz w:val="28"/>
          <w:szCs w:val="28"/>
        </w:rPr>
      </w:pPr>
    </w:p>
    <w:p w14:paraId="2835EB94">
      <w:pPr>
        <w:ind w:right="640"/>
        <w:jc w:val="right"/>
        <w:rPr>
          <w:rFonts w:ascii="仿宋_GB2312" w:hAnsi="宋体" w:eastAsia="仿宋_GB2312"/>
          <w:color w:val="FF0000"/>
          <w:sz w:val="28"/>
          <w:szCs w:val="28"/>
        </w:rPr>
      </w:pPr>
    </w:p>
    <w:p w14:paraId="0BDA3DFD">
      <w:pPr>
        <w:ind w:right="640"/>
        <w:jc w:val="right"/>
        <w:rPr>
          <w:rFonts w:ascii="仿宋_GB2312" w:hAnsi="宋体" w:eastAsia="仿宋_GB2312"/>
          <w:color w:val="FF0000"/>
          <w:sz w:val="28"/>
          <w:szCs w:val="28"/>
        </w:rPr>
      </w:pPr>
    </w:p>
    <w:p w14:paraId="59643C6E">
      <w:pPr>
        <w:ind w:right="640"/>
        <w:jc w:val="right"/>
        <w:rPr>
          <w:rFonts w:ascii="仿宋_GB2312" w:hAnsi="宋体" w:eastAsia="仿宋_GB2312"/>
          <w:color w:val="FF0000"/>
          <w:sz w:val="28"/>
          <w:szCs w:val="28"/>
        </w:rPr>
      </w:pPr>
    </w:p>
    <w:p w14:paraId="52FCC727">
      <w:pPr>
        <w:ind w:right="640"/>
        <w:jc w:val="right"/>
        <w:rPr>
          <w:rFonts w:ascii="仿宋_GB2312" w:hAnsi="宋体" w:eastAsia="仿宋_GB2312"/>
          <w:color w:val="FF0000"/>
          <w:sz w:val="28"/>
          <w:szCs w:val="28"/>
        </w:rPr>
      </w:pPr>
    </w:p>
    <w:p w14:paraId="6922C731">
      <w:pPr>
        <w:ind w:right="640"/>
        <w:jc w:val="right"/>
        <w:rPr>
          <w:rFonts w:ascii="仿宋_GB2312" w:hAnsi="宋体" w:eastAsia="仿宋_GB2312"/>
          <w:color w:val="FF0000"/>
          <w:sz w:val="28"/>
          <w:szCs w:val="28"/>
        </w:rPr>
      </w:pPr>
    </w:p>
    <w:p w14:paraId="118BDF0E">
      <w:pPr>
        <w:rPr>
          <w:rFonts w:ascii="仿宋_GB2312" w:hAnsi="宋体" w:eastAsia="仿宋_GB2312"/>
          <w:sz w:val="28"/>
          <w:szCs w:val="28"/>
        </w:rPr>
      </w:pPr>
      <w:r>
        <w:rPr>
          <w:rFonts w:hint="eastAsia" w:ascii="仿宋_GB2312" w:hAnsi="宋体" w:eastAsia="仿宋_GB2312"/>
          <w:sz w:val="28"/>
          <w:szCs w:val="28"/>
        </w:rPr>
        <w:t>附件2：</w:t>
      </w:r>
    </w:p>
    <w:p w14:paraId="1D01B4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b w:val="0"/>
          <w:bCs w:val="0"/>
          <w:i w:val="0"/>
          <w:iCs w:val="0"/>
          <w:caps w:val="0"/>
          <w:spacing w:val="0"/>
          <w:sz w:val="32"/>
          <w:szCs w:val="32"/>
        </w:rPr>
      </w:pPr>
      <w:r>
        <w:rPr>
          <w:rStyle w:val="8"/>
          <w:rFonts w:hint="eastAsia" w:ascii="黑体" w:hAnsi="黑体" w:eastAsia="黑体" w:cs="黑体"/>
          <w:b w:val="0"/>
          <w:bCs w:val="0"/>
          <w:i w:val="0"/>
          <w:iCs w:val="0"/>
          <w:caps w:val="0"/>
          <w:spacing w:val="0"/>
          <w:sz w:val="32"/>
          <w:szCs w:val="32"/>
          <w:shd w:val="clear" w:fill="FFFFFF"/>
        </w:rPr>
        <w:t>保密承诺书</w:t>
      </w:r>
    </w:p>
    <w:p w14:paraId="705982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承诺方：</w:t>
      </w:r>
      <w:bookmarkStart w:id="0" w:name="_GoBack"/>
      <w:r>
        <w:rPr>
          <w:rFonts w:hint="eastAsia" w:ascii="宋体" w:hAnsi="宋体" w:eastAsia="宋体" w:cs="宋体"/>
          <w:i w:val="0"/>
          <w:iCs w:val="0"/>
          <w:caps w:val="0"/>
          <w:color w:val="000000"/>
          <w:spacing w:val="0"/>
          <w:sz w:val="28"/>
          <w:szCs w:val="28"/>
          <w:shd w:val="clear" w:fill="FFFFFF"/>
        </w:rPr>
        <w:t>xxx</w:t>
      </w:r>
      <w:bookmarkEnd w:id="0"/>
    </w:p>
    <w:p w14:paraId="1310DE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承诺方自愿签订本承诺书，并遵守本承诺书内容。</w:t>
      </w:r>
    </w:p>
    <w:p w14:paraId="799B96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蒙牛方：指内蒙古蒙牛乳业(集团)股份有限公司（或业务调研涉及的蒙牛其他主体）</w:t>
      </w:r>
    </w:p>
    <w:p w14:paraId="655C90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第一条、保密的定义、内容和范围</w:t>
      </w:r>
    </w:p>
    <w:p w14:paraId="30C9BB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1、保密信息的定义：“保密信息”指本承诺书及其所有附件和补充文件，包括但不限于承诺方履行承诺书过程中所涉及的所有文件、信息、数据、图纸、技术规格、商业秘密等信息，以及其他由蒙牛方提供的并明确标有“保密”字样的信息。</w:t>
      </w:r>
    </w:p>
    <w:p w14:paraId="32EC25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2、涉及蒙牛方商业秘密，包括但不限于蒙牛方在需求调研、备份数据以及其他任何与我公司相关的信息。本承诺书所称的商业秘密，是指乙方所掌握或获知的不为公众所知悉、能为蒙牛方带来经济利益、具有实用性并经蒙牛方采取保密措施的技术信息和经营信息。</w:t>
      </w:r>
    </w:p>
    <w:p w14:paraId="33B7E0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3、包括但不限于以直接、间接、口头或书面等形式提供商业秘密的行为均属泄密。</w:t>
      </w:r>
    </w:p>
    <w:p w14:paraId="79ABDE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第二条、保密承诺内容</w:t>
      </w:r>
    </w:p>
    <w:p w14:paraId="087891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1、承诺方同意严格按照本承诺书的规定使用蒙牛方的保密信息，未经蒙牛方的事先书面许可，不得向第三方，或允许向第三方直接或间接地透露保密信息。</w:t>
      </w:r>
    </w:p>
    <w:p w14:paraId="0B0521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2、承诺方负责对保密信息进行保密，并采取所有必要的预防措施（包括但不限于双方采取的用于保护自身保密信息的措施）防止第三方未经授权地使用及透露保密信息；</w:t>
      </w:r>
    </w:p>
    <w:p w14:paraId="7BC802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3、承诺方不得向第三方提供保密信息或由保密信息衍生的信息；</w:t>
      </w:r>
    </w:p>
    <w:p w14:paraId="23C23E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4、除了本承诺书确定的保密信息应用范围外，承诺方不得在任何时候使用保密信息。</w:t>
      </w:r>
    </w:p>
    <w:p w14:paraId="0D8B9B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保密信息应用范围包括：</w:t>
      </w:r>
      <w:r>
        <w:rPr>
          <w:rStyle w:val="8"/>
          <w:rFonts w:hint="eastAsia" w:ascii="宋体" w:hAnsi="宋体" w:eastAsia="宋体" w:cs="宋体"/>
          <w:b/>
          <w:bCs/>
          <w:i w:val="0"/>
          <w:iCs w:val="0"/>
          <w:caps w:val="0"/>
          <w:spacing w:val="0"/>
          <w:sz w:val="28"/>
          <w:szCs w:val="28"/>
          <w:shd w:val="clear" w:fill="FFFFFF"/>
        </w:rPr>
        <w:t>蒙牛乳业质量4.0战略实施采招项目</w:t>
      </w:r>
      <w:r>
        <w:rPr>
          <w:rFonts w:hint="eastAsia" w:ascii="宋体" w:hAnsi="宋体" w:eastAsia="宋体" w:cs="宋体"/>
          <w:i w:val="0"/>
          <w:iCs w:val="0"/>
          <w:caps w:val="0"/>
          <w:color w:val="000000"/>
          <w:spacing w:val="0"/>
          <w:sz w:val="28"/>
          <w:szCs w:val="28"/>
          <w:shd w:val="clear" w:fill="FFFFFF"/>
        </w:rPr>
        <w:t>范畴内。</w:t>
      </w:r>
    </w:p>
    <w:p w14:paraId="27FD5E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5、本条款项下的义务适用于任何保密信息，或根据双方事先或目前签署的承诺书由蒙牛方提供给承诺方的其他专有和/或保密信息。</w:t>
      </w:r>
    </w:p>
    <w:p w14:paraId="612338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6、本承诺书终止后，承诺方应立即自费将保密信息物归原主，并归还所有含保密信息的文件或媒体及其复制件或摘要。</w:t>
      </w:r>
    </w:p>
    <w:p w14:paraId="725F1D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7、承诺书确定业务的承诺方员工。如果参与本承诺书的承诺方员工不再继续参与本项目，则应确保立即终止该员工获得对方保密信息和信息源的途径，并保证该员工对已接触到的保密信息履行保密义务。</w:t>
      </w:r>
    </w:p>
    <w:p w14:paraId="58E792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第三条、权利与义务</w:t>
      </w:r>
    </w:p>
    <w:p w14:paraId="4F4328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1、承诺方应自觉维护蒙牛的利益，严格遵守本保密承诺书的保密规定并保证自身涉密员工严格履行保密义务；</w:t>
      </w:r>
    </w:p>
    <w:p w14:paraId="34FD28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2、承诺方不得向任何单位和个人泄露所掌握的商业秘密事项；</w:t>
      </w:r>
    </w:p>
    <w:p w14:paraId="48107F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3、承诺方不得利用所掌握的商业秘密牟取私利；</w:t>
      </w:r>
    </w:p>
    <w:p w14:paraId="17EF43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4、承诺方了解并承认，由于技术服务等原因，承诺方有可能在某些情况下经蒙牛方确认许可后访问蒙牛方数据。</w:t>
      </w:r>
    </w:p>
    <w:p w14:paraId="4BEB7E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5、承诺方同意并承诺，对所有保密信息予以严格保密，在未得到蒙牛方事先许可的情况下不得披露给任何第三人；</w:t>
      </w:r>
    </w:p>
    <w:p w14:paraId="6AE856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6、承诺方同意并承诺，无论任何原因，服务终止后，承诺方不可恢复地删除任何商业秘密，并不留存任何副本。同时，如蒙牛方需要，承诺方保证退回蒙牛方的任何含有商业秘密的文件或资料(如有)。</w:t>
      </w:r>
    </w:p>
    <w:p w14:paraId="1B2459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第四条、本《承诺书》项下的保密义务不适用于如下信息：</w:t>
      </w:r>
    </w:p>
    <w:p w14:paraId="1941A9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1、由于承诺方以外其他渠道被他人获知的信息，这些渠道并不受保密义务的限制；</w:t>
      </w:r>
    </w:p>
    <w:p w14:paraId="570C67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lang w:eastAsia="zh-CN"/>
        </w:rPr>
      </w:pPr>
      <w:r>
        <w:rPr>
          <w:rFonts w:hint="eastAsia" w:ascii="宋体" w:hAnsi="宋体" w:eastAsia="宋体" w:cs="宋体"/>
          <w:i w:val="0"/>
          <w:iCs w:val="0"/>
          <w:caps w:val="0"/>
          <w:color w:val="000000"/>
          <w:spacing w:val="0"/>
          <w:sz w:val="28"/>
          <w:szCs w:val="28"/>
          <w:shd w:val="clear" w:fill="FFFFFF"/>
        </w:rPr>
        <w:t>2、由于法律的适用、法院或其他国家有权机关的要求而披露的信息</w:t>
      </w:r>
      <w:r>
        <w:rPr>
          <w:rFonts w:hint="eastAsia" w:cs="宋体"/>
          <w:i w:val="0"/>
          <w:iCs w:val="0"/>
          <w:caps w:val="0"/>
          <w:color w:val="000000"/>
          <w:spacing w:val="0"/>
          <w:sz w:val="28"/>
          <w:szCs w:val="28"/>
          <w:shd w:val="clear" w:fill="FFFFFF"/>
          <w:lang w:eastAsia="zh-CN"/>
        </w:rPr>
        <w:t>；</w:t>
      </w:r>
    </w:p>
    <w:p w14:paraId="351E3C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3、另一方从不受保密限制的第三方获得的信息；</w:t>
      </w:r>
    </w:p>
    <w:p w14:paraId="6B3554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4、未参考保密信息而由另一方独立开发的信息；</w:t>
      </w:r>
    </w:p>
    <w:p w14:paraId="3D4A0C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5、依据法律的规定或根据法律赋予的权力可以获取此信息的司法、政府机构的要求必须公开的信息。接到此类要求后的一方，应立即通知另一方,使另一方了解将要披露的内容并提出意见。</w:t>
      </w:r>
    </w:p>
    <w:p w14:paraId="3415C5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第五条、如果承诺方违反本承诺书的以上规定情形,则蒙牛方有权将承诺方拉入蒙牛方供应商黑名单，并要积极配合蒙牛方在10个工作日内收回已经泄露的信息。</w:t>
      </w:r>
    </w:p>
    <w:p w14:paraId="7A5FCC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第六条、争议解决方式</w:t>
      </w:r>
    </w:p>
    <w:p w14:paraId="2A7B77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本承诺书适用中华人民共和国法律，因本承诺书引起或与本承诺书有关的任何争议，应由双方友好协商解决，协商不成的，双方同意选择第【2】种方式解决：</w:t>
      </w:r>
    </w:p>
    <w:p w14:paraId="50C98F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1、向呼和浩特仲裁委员会申请仲裁。因仲裁产生的包括但不限于仲裁费、律师费、调查费、差旅费等，由败诉一方承担。</w:t>
      </w:r>
    </w:p>
    <w:p w14:paraId="236E30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2、向蒙牛方所在地有管辖权的人民法院提起诉讼。因诉讼产生的包括但不限于诉讼费、律师费、调查费、差旅费等，由败诉一方承担。</w:t>
      </w:r>
    </w:p>
    <w:p w14:paraId="246DFE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第七条、此承诺书自盖章之日起生效。</w:t>
      </w:r>
    </w:p>
    <w:p w14:paraId="17DDBC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（以下无正文）</w:t>
      </w:r>
    </w:p>
    <w:p w14:paraId="066E7F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40" w:firstLineChars="2300"/>
        <w:jc w:val="both"/>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承诺方：xxx</w:t>
      </w:r>
    </w:p>
    <w:p w14:paraId="3FFC9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spacing w:val="0"/>
          <w:sz w:val="28"/>
          <w:szCs w:val="28"/>
        </w:rPr>
      </w:pPr>
      <w:r>
        <w:rPr>
          <w:rFonts w:hint="eastAsia" w:ascii="宋体" w:hAnsi="宋体" w:eastAsia="宋体" w:cs="宋体"/>
          <w:i w:val="0"/>
          <w:iCs w:val="0"/>
          <w:caps w:val="0"/>
          <w:color w:val="000000"/>
          <w:spacing w:val="0"/>
          <w:sz w:val="28"/>
          <w:szCs w:val="28"/>
          <w:shd w:val="clear" w:fill="FFFFFF"/>
        </w:rPr>
        <w:t>日期：年</w:t>
      </w:r>
      <w:r>
        <w:rPr>
          <w:rFonts w:hint="eastAsia" w:cs="宋体"/>
          <w:i w:val="0"/>
          <w:iCs w:val="0"/>
          <w:caps w:val="0"/>
          <w:color w:val="000000"/>
          <w:spacing w:val="0"/>
          <w:sz w:val="28"/>
          <w:szCs w:val="28"/>
          <w:shd w:val="clear" w:fill="FFFFFF"/>
          <w:lang w:val="en-US" w:eastAsia="zh-CN"/>
        </w:rPr>
        <w:t xml:space="preserve">  </w:t>
      </w:r>
      <w:r>
        <w:rPr>
          <w:rFonts w:hint="eastAsia" w:ascii="宋体" w:hAnsi="宋体" w:eastAsia="宋体" w:cs="宋体"/>
          <w:i w:val="0"/>
          <w:iCs w:val="0"/>
          <w:caps w:val="0"/>
          <w:color w:val="000000"/>
          <w:spacing w:val="0"/>
          <w:sz w:val="28"/>
          <w:szCs w:val="28"/>
          <w:shd w:val="clear" w:fill="FFFFFF"/>
        </w:rPr>
        <w:t>月</w:t>
      </w:r>
      <w:r>
        <w:rPr>
          <w:rFonts w:hint="eastAsia" w:cs="宋体"/>
          <w:i w:val="0"/>
          <w:iCs w:val="0"/>
          <w:caps w:val="0"/>
          <w:color w:val="000000"/>
          <w:spacing w:val="0"/>
          <w:sz w:val="28"/>
          <w:szCs w:val="28"/>
          <w:shd w:val="clear" w:fill="FFFFFF"/>
          <w:lang w:val="en-US" w:eastAsia="zh-CN"/>
        </w:rPr>
        <w:t xml:space="preserve">  </w:t>
      </w:r>
      <w:r>
        <w:rPr>
          <w:rFonts w:hint="eastAsia" w:ascii="宋体" w:hAnsi="宋体" w:eastAsia="宋体" w:cs="宋体"/>
          <w:i w:val="0"/>
          <w:iCs w:val="0"/>
          <w:caps w:val="0"/>
          <w:color w:val="000000"/>
          <w:spacing w:val="0"/>
          <w:sz w:val="28"/>
          <w:szCs w:val="28"/>
          <w:shd w:val="clear" w:fill="FFFFFF"/>
        </w:rPr>
        <w:t>日</w:t>
      </w:r>
    </w:p>
    <w:p w14:paraId="09F0B0F1">
      <w:pPr>
        <w:jc w:val="both"/>
        <w:rPr>
          <w:rFonts w:hint="default" w:ascii="MicrosoftYaHei" w:hAnsi="MicrosoftYaHei" w:eastAsia="MicrosoftYaHei" w:cs="MicrosoftYaHei"/>
          <w:b w:val="0"/>
          <w:bCs w:val="0"/>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02445A7A"/>
    <w:rsid w:val="043409A1"/>
    <w:rsid w:val="06A731E3"/>
    <w:rsid w:val="0BA711AA"/>
    <w:rsid w:val="382316B2"/>
    <w:rsid w:val="3D40527E"/>
    <w:rsid w:val="42DE4B54"/>
    <w:rsid w:val="48BF3033"/>
    <w:rsid w:val="59741916"/>
    <w:rsid w:val="5BA83AF9"/>
    <w:rsid w:val="698067CB"/>
    <w:rsid w:val="6E6C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8"/>
      <w:szCs w:val="18"/>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styleId="9">
    <w:name w:val="Hyperlink"/>
    <w:qFormat/>
    <w:uiPriority w:val="0"/>
    <w:rPr>
      <w:color w:val="0000FF"/>
      <w:u w:val="non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3743</Words>
  <Characters>4131</Characters>
  <Lines>22</Lines>
  <Paragraphs>6</Paragraphs>
  <TotalTime>18</TotalTime>
  <ScaleCrop>false</ScaleCrop>
  <LinksUpToDate>false</LinksUpToDate>
  <CharactersWithSpaces>4275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陈丽娟</cp:lastModifiedBy>
  <dcterms:modified xsi:type="dcterms:W3CDTF">2025-08-27T08:06:57Z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eyJoZGlkIjoiMDBjZjA1MTJjNzY3ZWQ0OTBkNDNhNjlmMzRiYWE0MjEiLCJ1c2VySWQiOiIxNjgyMDY5NDUxIn0=</vt:lpwstr>
  </property>
  <property fmtid="{D5CDD505-2E9C-101B-9397-08002B2CF9AE}" pid="4" name="ICV">
    <vt:lpwstr>EA67FBCB8D4544F6A5F2AA0B8A8D2FA9_13</vt:lpwstr>
  </property>
</Properties>
</file>