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CB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Theme="minorEastAsia" w:hAnsiTheme="minorEastAsia"/>
          <w:b/>
          <w:sz w:val="36"/>
          <w:szCs w:val="36"/>
          <w:lang w:val="en-US" w:eastAsia="zh-CN"/>
        </w:rPr>
      </w:pPr>
      <w:r>
        <w:rPr>
          <w:rFonts w:hint="eastAsia" w:asciiTheme="minorEastAsia" w:hAnsiTheme="minorEastAsia"/>
          <w:b/>
          <w:strike w:val="0"/>
          <w:dstrike w:val="0"/>
          <w:sz w:val="36"/>
          <w:szCs w:val="36"/>
        </w:rPr>
        <w:t>蒙牛乳业冰品马鞍山工厂可移动一体式巧克力涂挂槽采购</w:t>
      </w:r>
      <w:r>
        <w:rPr>
          <w:rFonts w:hint="eastAsia" w:asciiTheme="minorEastAsia" w:hAnsiTheme="minorEastAsia"/>
          <w:b/>
          <w:sz w:val="36"/>
          <w:szCs w:val="36"/>
        </w:rPr>
        <w:t>项目</w:t>
      </w:r>
      <w:r>
        <w:rPr>
          <w:rFonts w:hint="eastAsia" w:asciiTheme="minorEastAsia" w:hAnsiTheme="minorEastAsia"/>
          <w:b/>
          <w:sz w:val="36"/>
          <w:szCs w:val="36"/>
          <w:lang w:val="en-US" w:eastAsia="zh-CN"/>
        </w:rPr>
        <w:t>询比价信息三次公告</w:t>
      </w:r>
    </w:p>
    <w:p w14:paraId="545B769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_GB2312" w:cs="仿宋"/>
          <w:sz w:val="24"/>
          <w:szCs w:val="24"/>
          <w:lang w:val="en-US" w:eastAsia="zh-CN"/>
        </w:rPr>
      </w:pPr>
      <w:r>
        <w:rPr>
          <w:rFonts w:hint="eastAsia" w:ascii="仿宋_GB2312" w:hAnsi="宋体" w:eastAsia="仿宋_GB2312"/>
          <w:sz w:val="24"/>
          <w:szCs w:val="24"/>
        </w:rPr>
        <w:t>蒙牛乳业冰品马鞍山工厂可移动一体式巧克力涂挂槽采购项目进行询比价, 欢迎符合资格条件的供应商参加。</w:t>
      </w:r>
    </w:p>
    <w:p w14:paraId="7E00E6C7">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sz w:val="24"/>
          <w:szCs w:val="24"/>
          <w:lang w:val="en-US" w:eastAsia="zh-CN"/>
        </w:rPr>
        <w:t>项目编号：</w:t>
      </w:r>
      <w:r>
        <w:rPr>
          <w:rFonts w:hint="eastAsia" w:ascii="仿宋" w:hAnsi="仿宋" w:eastAsia="仿宋" w:cs="仿宋"/>
          <w:b/>
          <w:bCs/>
          <w:color w:val="auto"/>
          <w:sz w:val="24"/>
          <w:szCs w:val="24"/>
          <w:lang w:val="en-US" w:eastAsia="zh-CN"/>
        </w:rPr>
        <w:t>MNCGJH-20250731-0012</w:t>
      </w:r>
    </w:p>
    <w:p w14:paraId="0D5C2B65">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color w:val="auto"/>
          <w:sz w:val="24"/>
          <w:szCs w:val="24"/>
        </w:rPr>
        <w:t>二、项目名称</w:t>
      </w:r>
      <w:r>
        <w:rPr>
          <w:rFonts w:hint="eastAsia" w:ascii="仿宋" w:hAnsi="仿宋" w:eastAsia="仿宋" w:cs="仿宋"/>
          <w:color w:val="auto"/>
          <w:sz w:val="24"/>
          <w:szCs w:val="24"/>
        </w:rPr>
        <w:t>：</w:t>
      </w:r>
      <w:r>
        <w:rPr>
          <w:rFonts w:hint="eastAsia" w:ascii="仿宋" w:hAnsi="仿宋" w:eastAsia="仿宋" w:cs="仿宋"/>
          <w:b/>
          <w:bCs/>
          <w:color w:val="auto"/>
          <w:sz w:val="24"/>
          <w:szCs w:val="24"/>
          <w:lang w:val="en-US" w:eastAsia="zh-CN"/>
        </w:rPr>
        <w:t>蒙牛乳业冰品马鞍山工厂可移动一体式巧克力涂挂槽采购项目</w:t>
      </w:r>
    </w:p>
    <w:p w14:paraId="07E46AF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2868AD4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1</w:t>
      </w:r>
      <w:r>
        <w:rPr>
          <w:rFonts w:hint="eastAsia" w:ascii="仿宋" w:hAnsi="仿宋" w:eastAsia="仿宋" w:cs="仿宋"/>
          <w:b/>
          <w:sz w:val="24"/>
          <w:szCs w:val="24"/>
          <w:lang w:eastAsia="zh-CN"/>
        </w:rPr>
        <w:t>、</w:t>
      </w:r>
      <w:r>
        <w:rPr>
          <w:rFonts w:hint="eastAsia" w:ascii="仿宋" w:hAnsi="仿宋" w:eastAsia="仿宋" w:cs="仿宋"/>
          <w:b/>
          <w:sz w:val="24"/>
          <w:szCs w:val="24"/>
        </w:rPr>
        <w:t>工程</w:t>
      </w:r>
      <w:r>
        <w:rPr>
          <w:rFonts w:hint="eastAsia" w:ascii="仿宋" w:hAnsi="仿宋" w:eastAsia="仿宋" w:cs="仿宋"/>
          <w:b/>
          <w:sz w:val="24"/>
          <w:szCs w:val="24"/>
          <w:lang w:val="en-US" w:eastAsia="zh-CN"/>
        </w:rPr>
        <w:t>简介</w:t>
      </w:r>
    </w:p>
    <w:p w14:paraId="5150774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冰品马鞍山工厂对巧克力原液定期进行消杀，防止长时间循环运行过程出现风险，为保证生产有效时间，需购置整套巧克力涂挂系统实现在生产时一用一备，现对该项目实施内容进行采购招标。</w:t>
      </w:r>
    </w:p>
    <w:p w14:paraId="6035EEE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 xml:space="preserve">2 </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采购范围</w:t>
      </w:r>
      <w:r>
        <w:rPr>
          <w:rFonts w:hint="eastAsia" w:ascii="仿宋" w:hAnsi="仿宋" w:eastAsia="仿宋" w:cs="仿宋"/>
          <w:b/>
          <w:sz w:val="24"/>
          <w:szCs w:val="24"/>
        </w:rPr>
        <w:t>：</w:t>
      </w:r>
    </w:p>
    <w:p w14:paraId="423CBD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b/>
          <w:color w:val="auto"/>
          <w:sz w:val="24"/>
          <w:szCs w:val="24"/>
          <w:lang w:val="en-US" w:eastAsia="zh-CN"/>
        </w:rPr>
      </w:pPr>
      <w:r>
        <w:rPr>
          <w:rFonts w:hint="eastAsia" w:ascii="仿宋" w:hAnsi="仿宋" w:eastAsia="仿宋"/>
          <w:sz w:val="24"/>
          <w:szCs w:val="24"/>
          <w:highlight w:val="none"/>
          <w:lang w:val="en-US" w:eastAsia="zh-CN"/>
        </w:rPr>
        <w:t>可移动一体式巧克力涂挂槽的采购安装、调试。</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b/>
          <w:sz w:val="24"/>
          <w:szCs w:val="24"/>
          <w:lang w:val="en-US" w:eastAsia="zh-CN"/>
        </w:rPr>
        <w:t>3、计划工期：60天</w:t>
      </w:r>
    </w:p>
    <w:p w14:paraId="485C629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2B15ECD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1、有效的营业执照（副本），有效的开户行许可证/基本存款账户信息；</w:t>
      </w:r>
    </w:p>
    <w:p w14:paraId="099CF13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sz w:val="24"/>
          <w:szCs w:val="24"/>
          <w:highlight w:val="none"/>
          <w:lang w:val="en-US" w:eastAsia="zh-CN"/>
        </w:rPr>
        <w:t>2、提供一般纳税人认定资格证明材料；</w:t>
      </w:r>
    </w:p>
    <w:p w14:paraId="6B516374">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3、投标人须营业范围具有机械设备的生产制造或代理销售能力的设备厂商；</w:t>
      </w:r>
    </w:p>
    <w:p w14:paraId="11CE851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4、提供（2022年或2024年）任意一年财务报表或经过第三方专业审计机构审计的财务报告（新成立企业提供成立年度至投标截止日的财务审计报告或财务报表）;</w:t>
      </w:r>
    </w:p>
    <w:p w14:paraId="408E7A23">
      <w:pPr>
        <w:pStyle w:val="11"/>
        <w:keepNext w:val="0"/>
        <w:keepLines w:val="0"/>
        <w:widowControl/>
        <w:suppressLineNumbers w:val="0"/>
        <w:spacing w:before="0" w:beforeAutospacing="0" w:after="0" w:afterAutospacing="0" w:line="499" w:lineRule="auto"/>
        <w:ind w:firstLine="480" w:firstLineChars="200"/>
        <w:jc w:val="left"/>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6、法定代表人证明书或授权委托书原件;</w:t>
      </w:r>
    </w:p>
    <w:p w14:paraId="05A53AAF">
      <w:pPr>
        <w:pStyle w:val="11"/>
        <w:keepNext w:val="0"/>
        <w:keepLines w:val="0"/>
        <w:widowControl/>
        <w:suppressLineNumbers w:val="0"/>
        <w:spacing w:before="0" w:beforeAutospacing="0" w:after="0" w:afterAutospacing="0" w:line="499" w:lineRule="auto"/>
        <w:ind w:firstLine="480" w:firstLineChars="200"/>
        <w:jc w:val="left"/>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7、</w:t>
      </w:r>
      <w:r>
        <w:rPr>
          <w:rFonts w:hint="default" w:ascii="仿宋" w:hAnsi="仿宋" w:eastAsia="仿宋" w:cs="Times New Roman"/>
          <w:kern w:val="2"/>
          <w:sz w:val="24"/>
          <w:szCs w:val="24"/>
          <w:highlight w:val="none"/>
          <w:lang w:val="en-US" w:eastAsia="zh-CN" w:bidi="ar-SA"/>
        </w:rPr>
        <w:t>提供202</w:t>
      </w:r>
      <w:r>
        <w:rPr>
          <w:rFonts w:hint="eastAsia" w:ascii="仿宋" w:hAnsi="仿宋" w:eastAsia="仿宋" w:cs="Times New Roman"/>
          <w:kern w:val="2"/>
          <w:sz w:val="24"/>
          <w:szCs w:val="24"/>
          <w:highlight w:val="none"/>
          <w:lang w:val="en-US" w:eastAsia="zh-CN" w:bidi="ar-SA"/>
        </w:rPr>
        <w:t>2</w:t>
      </w:r>
      <w:r>
        <w:rPr>
          <w:rFonts w:hint="default" w:ascii="仿宋" w:hAnsi="仿宋" w:eastAsia="仿宋" w:cs="Times New Roman"/>
          <w:kern w:val="2"/>
          <w:sz w:val="24"/>
          <w:szCs w:val="24"/>
          <w:highlight w:val="none"/>
          <w:lang w:val="en-US" w:eastAsia="zh-CN" w:bidi="ar-SA"/>
        </w:rPr>
        <w:t>年-至今</w:t>
      </w:r>
      <w:r>
        <w:rPr>
          <w:rFonts w:hint="eastAsia" w:ascii="仿宋" w:hAnsi="仿宋" w:eastAsia="仿宋" w:cs="Times New Roman"/>
          <w:kern w:val="2"/>
          <w:sz w:val="24"/>
          <w:szCs w:val="24"/>
          <w:highlight w:val="none"/>
          <w:lang w:val="en-US" w:eastAsia="zh-CN" w:bidi="ar-SA"/>
        </w:rPr>
        <w:t>2</w:t>
      </w:r>
      <w:r>
        <w:rPr>
          <w:rFonts w:hint="default" w:ascii="仿宋" w:hAnsi="仿宋" w:eastAsia="仿宋" w:cs="Times New Roman"/>
          <w:kern w:val="2"/>
          <w:sz w:val="24"/>
          <w:szCs w:val="24"/>
          <w:highlight w:val="none"/>
          <w:lang w:val="en-US" w:eastAsia="zh-CN" w:bidi="ar-SA"/>
        </w:rPr>
        <w:t>个及以上类似项目业绩证明材料（以合同</w:t>
      </w:r>
      <w:r>
        <w:rPr>
          <w:rFonts w:hint="eastAsia" w:ascii="仿宋" w:hAnsi="仿宋" w:eastAsia="仿宋" w:cs="Times New Roman"/>
          <w:kern w:val="2"/>
          <w:sz w:val="24"/>
          <w:szCs w:val="24"/>
          <w:highlight w:val="none"/>
          <w:lang w:val="en-US" w:eastAsia="zh-CN" w:bidi="ar-SA"/>
        </w:rPr>
        <w:t>或验收报告</w:t>
      </w:r>
      <w:r>
        <w:rPr>
          <w:rFonts w:hint="default" w:ascii="仿宋" w:hAnsi="仿宋" w:eastAsia="仿宋" w:cs="Times New Roman"/>
          <w:kern w:val="2"/>
          <w:sz w:val="24"/>
          <w:szCs w:val="24"/>
          <w:highlight w:val="none"/>
          <w:lang w:val="en-US" w:eastAsia="zh-CN" w:bidi="ar-SA"/>
        </w:rPr>
        <w:t>为准）</w:t>
      </w:r>
      <w:r>
        <w:rPr>
          <w:rFonts w:hint="eastAsia" w:ascii="仿宋" w:hAnsi="仿宋" w:eastAsia="仿宋" w:cs="Times New Roman"/>
          <w:kern w:val="2"/>
          <w:sz w:val="24"/>
          <w:szCs w:val="24"/>
          <w:highlight w:val="none"/>
          <w:lang w:val="en-US" w:eastAsia="zh-CN" w:bidi="ar-SA"/>
        </w:rPr>
        <w:t>;</w:t>
      </w:r>
    </w:p>
    <w:p w14:paraId="47EDD06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、投标人在“中华人民共和国应急管理部（https://www.mem.gov.cn/）”近一年内无公开曝光的安全事件；</w:t>
      </w:r>
    </w:p>
    <w:p w14:paraId="16F23726">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eastAsia" w:ascii="仿宋" w:hAnsi="仿宋" w:eastAsia="仿宋"/>
          <w:sz w:val="24"/>
          <w:szCs w:val="24"/>
          <w:lang w:val="en-US" w:eastAsia="zh-CN"/>
        </w:rPr>
        <w:t>9、</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14AB27E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sz w:val="24"/>
          <w:szCs w:val="24"/>
          <w:lang w:val="en-US" w:eastAsia="zh-CN"/>
        </w:rPr>
        <w:t>10</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1E9577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11</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B70A53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12</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rPr>
      </w:pPr>
      <w:r>
        <w:rPr>
          <w:rFonts w:hint="eastAsia" w:ascii="仿宋" w:hAnsi="仿宋" w:eastAsia="仿宋" w:cs="仿宋"/>
          <w:sz w:val="24"/>
          <w:szCs w:val="24"/>
        </w:rPr>
        <w:t>注：请先阅读【蒙牛乳业SAP SRM运维项目用户操作手册】和【供应商入库-登录-参与项目-报名等流程说明】服务手册，再进行注册、报名，</w:t>
      </w:r>
      <w:r>
        <w:rPr>
          <w:rFonts w:hint="eastAsia" w:ascii="仿宋" w:hAnsi="仿宋" w:eastAsia="仿宋" w:cs="仿宋"/>
          <w:sz w:val="24"/>
          <w:szCs w:val="24"/>
          <w:highlight w:val="yellow"/>
        </w:rPr>
        <w:t>注册后需</w:t>
      </w:r>
      <w:r>
        <w:rPr>
          <w:rFonts w:hint="eastAsia" w:ascii="仿宋" w:hAnsi="仿宋" w:eastAsia="仿宋" w:cs="仿宋"/>
          <w:sz w:val="24"/>
          <w:szCs w:val="24"/>
          <w:highlight w:val="yellow"/>
          <w:lang w:val="en-US" w:eastAsia="zh-CN"/>
        </w:rPr>
        <w:t>电话</w:t>
      </w:r>
      <w:r>
        <w:rPr>
          <w:rFonts w:hint="eastAsia" w:ascii="仿宋" w:hAnsi="仿宋" w:eastAsia="仿宋" w:cs="仿宋"/>
          <w:sz w:val="24"/>
          <w:szCs w:val="24"/>
          <w:highlight w:val="yellow"/>
        </w:rPr>
        <w:t>联系（18247148866）进行准入</w:t>
      </w:r>
      <w:r>
        <w:rPr>
          <w:rFonts w:hint="eastAsia" w:ascii="仿宋" w:hAnsi="仿宋" w:eastAsia="仿宋" w:cs="仿宋"/>
          <w:sz w:val="24"/>
          <w:szCs w:val="24"/>
        </w:rPr>
        <w:t>，如因办理注册和平台操作不及时或错误，影响参加招标采购活动的，责任自负。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报名资格文件按照如下要求提供：</w:t>
      </w:r>
    </w:p>
    <w:p w14:paraId="6A252B0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 w:hAnsi="仿宋" w:eastAsia="仿宋" w:cs="仿宋"/>
          <w:sz w:val="24"/>
          <w:szCs w:val="24"/>
        </w:rPr>
        <w:t>有效的营业执照</w:t>
      </w:r>
      <w:r>
        <w:rPr>
          <w:rFonts w:hint="eastAsia" w:ascii="仿宋" w:hAnsi="仿宋" w:eastAsia="仿宋" w:cs="仿宋"/>
          <w:sz w:val="24"/>
          <w:szCs w:val="24"/>
          <w:lang w:val="en-US" w:eastAsia="zh-CN"/>
        </w:rPr>
        <w:t>和</w:t>
      </w:r>
      <w:r>
        <w:rPr>
          <w:rFonts w:hint="eastAsia" w:ascii="仿宋" w:hAnsi="仿宋" w:eastAsia="仿宋" w:cs="仿宋"/>
          <w:sz w:val="24"/>
          <w:szCs w:val="24"/>
        </w:rPr>
        <w:t>有效的开户行许可证</w:t>
      </w:r>
      <w:r>
        <w:rPr>
          <w:rFonts w:hint="eastAsia" w:ascii="仿宋_GB2312" w:hAnsi="宋体" w:eastAsia="仿宋_GB2312" w:cs="Arial"/>
          <w:sz w:val="24"/>
          <w:szCs w:val="24"/>
          <w:lang w:val="en-US" w:eastAsia="zh-CN" w:bidi="ar"/>
        </w:rPr>
        <w:t>或</w:t>
      </w:r>
      <w:r>
        <w:rPr>
          <w:rFonts w:hint="eastAsia" w:ascii="仿宋_GB2312" w:hAnsi="宋体" w:eastAsia="仿宋_GB2312" w:cs="Arial"/>
          <w:sz w:val="24"/>
          <w:szCs w:val="24"/>
          <w:lang w:bidi="ar"/>
        </w:rPr>
        <w:t>基本存款账户信息</w:t>
      </w:r>
      <w:r>
        <w:rPr>
          <w:rFonts w:hint="eastAsia" w:ascii="仿宋" w:hAnsi="仿宋" w:eastAsia="仿宋" w:cs="仿宋"/>
          <w:sz w:val="24"/>
          <w:szCs w:val="24"/>
        </w:rPr>
        <w:t>；</w:t>
      </w:r>
    </w:p>
    <w:p w14:paraId="591E8F1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 xml:space="preserve">（2）提供企业一般纳税人认定资格证明材料、13%增值税专用发票和企业最近1年（2024年1月—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 </w:t>
      </w:r>
    </w:p>
    <w:p w14:paraId="214B55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_GB2312" w:hAnsi="宋体" w:eastAsia="仿宋_GB2312"/>
          <w:color w:val="000000"/>
          <w:sz w:val="24"/>
          <w:szCs w:val="24"/>
        </w:rPr>
        <w:t>法定代表人证明书或授权委托书原件</w:t>
      </w:r>
      <w:r>
        <w:rPr>
          <w:rFonts w:hint="eastAsia" w:ascii="仿宋_GB2312" w:hAnsi="宋体" w:eastAsia="仿宋_GB2312"/>
          <w:color w:val="000000"/>
          <w:sz w:val="24"/>
          <w:szCs w:val="24"/>
          <w:lang w:val="en-US" w:eastAsia="zh-CN"/>
        </w:rPr>
        <w:t>扫描件</w:t>
      </w:r>
      <w:r>
        <w:rPr>
          <w:rFonts w:hint="eastAsia" w:ascii="仿宋_GB2312" w:hAnsi="宋体" w:eastAsia="仿宋_GB2312"/>
          <w:color w:val="000000"/>
          <w:sz w:val="24"/>
          <w:szCs w:val="24"/>
        </w:rPr>
        <w:t>；</w:t>
      </w:r>
    </w:p>
    <w:p w14:paraId="1FB207D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olor w:val="000000"/>
          <w:sz w:val="24"/>
          <w:szCs w:val="24"/>
        </w:rPr>
        <w:t>备注：如果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法定代表人报名，请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法定代表人证明材料及身份证扫描件</w:t>
      </w:r>
      <w:r>
        <w:rPr>
          <w:rFonts w:hint="eastAsia" w:ascii="仿宋_GB2312" w:hAnsi="宋体" w:eastAsia="仿宋_GB2312"/>
          <w:color w:val="000000"/>
          <w:sz w:val="24"/>
          <w:szCs w:val="24"/>
        </w:rPr>
        <w:t>，如果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被授权委托人报名，请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一份法人授权委托书和身份证</w:t>
      </w:r>
      <w:r>
        <w:rPr>
          <w:rFonts w:hint="eastAsia" w:ascii="仿宋" w:hAnsi="仿宋" w:eastAsia="仿宋"/>
          <w:color w:val="000000"/>
          <w:sz w:val="24"/>
          <w:szCs w:val="24"/>
          <w:lang w:val="en-US" w:eastAsia="zh-CN"/>
        </w:rPr>
        <w:t>扫描件</w:t>
      </w:r>
      <w:r>
        <w:rPr>
          <w:rFonts w:hint="eastAsia" w:ascii="仿宋" w:hAnsi="仿宋" w:eastAsia="仿宋"/>
          <w:color w:val="000000"/>
          <w:sz w:val="24"/>
          <w:szCs w:val="24"/>
        </w:rPr>
        <w:t>及被授权委托人近一年内在本单位的社保证明材料（附件1）；</w:t>
      </w:r>
    </w:p>
    <w:p w14:paraId="2085E153">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b/>
          <w:i/>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auto"/>
          <w:sz w:val="24"/>
          <w:szCs w:val="24"/>
          <w:lang w:val="en-US" w:eastAsia="zh-CN"/>
        </w:rPr>
        <w:t>投标人须营业范围具有机械设备的生产制造或代理销售能力的设备厂商；</w:t>
      </w:r>
    </w:p>
    <w:p w14:paraId="726C4DF6">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（5）提供近三年（2022年至2024年）经过第三方专业审计机构审计的财务报告或财务报表（新成立企业提供成立年度至投标截止日的财务审计报告或财务报表）。</w:t>
      </w:r>
    </w:p>
    <w:p w14:paraId="7AAEB539">
      <w:pPr>
        <w:pStyle w:val="11"/>
        <w:keepNext w:val="0"/>
        <w:keepLines w:val="0"/>
        <w:widowControl/>
        <w:suppressLineNumbers w:val="0"/>
        <w:spacing w:before="0" w:beforeAutospacing="0" w:after="0" w:afterAutospacing="0" w:line="499" w:lineRule="auto"/>
        <w:ind w:firstLine="480" w:firstLineChars="200"/>
        <w:jc w:val="left"/>
        <w:rPr>
          <w:rFonts w:hint="eastAsia" w:ascii="仿宋_GB2312" w:hAnsi="宋体" w:eastAsia="仿宋_GB2312"/>
          <w:color w:val="000000"/>
          <w:sz w:val="24"/>
          <w:szCs w:val="24"/>
        </w:rPr>
      </w:pPr>
      <w:r>
        <w:rPr>
          <w:rFonts w:hint="eastAsia" w:ascii="仿宋_GB2312" w:hAnsi="宋体" w:eastAsia="仿宋_GB2312"/>
          <w:color w:val="000000"/>
          <w:sz w:val="24"/>
          <w:szCs w:val="24"/>
          <w:lang w:eastAsia="zh-CN"/>
        </w:rPr>
        <w:t>（</w:t>
      </w:r>
      <w:r>
        <w:rPr>
          <w:rFonts w:hint="eastAsia" w:ascii="仿宋_GB2312" w:eastAsia="仿宋_GB2312"/>
          <w:color w:val="000000"/>
          <w:sz w:val="24"/>
          <w:szCs w:val="24"/>
          <w:lang w:val="en-US" w:eastAsia="zh-CN"/>
        </w:rPr>
        <w:t>6</w:t>
      </w:r>
      <w:r>
        <w:rPr>
          <w:rFonts w:hint="eastAsia" w:ascii="仿宋_GB2312" w:hAnsi="宋体" w:eastAsia="仿宋_GB2312"/>
          <w:color w:val="000000"/>
          <w:sz w:val="24"/>
          <w:szCs w:val="24"/>
          <w:lang w:eastAsia="zh-CN"/>
        </w:rPr>
        <w:t>）</w:t>
      </w:r>
      <w:r>
        <w:rPr>
          <w:rFonts w:hint="default" w:ascii="仿宋" w:hAnsi="仿宋" w:eastAsia="仿宋" w:cs="Times New Roman"/>
          <w:kern w:val="2"/>
          <w:sz w:val="24"/>
          <w:szCs w:val="24"/>
          <w:highlight w:val="none"/>
          <w:lang w:val="en-US" w:eastAsia="zh-CN" w:bidi="ar-SA"/>
        </w:rPr>
        <w:t>提供202</w:t>
      </w:r>
      <w:r>
        <w:rPr>
          <w:rFonts w:hint="eastAsia" w:ascii="仿宋" w:hAnsi="仿宋" w:eastAsia="仿宋" w:cs="Times New Roman"/>
          <w:kern w:val="2"/>
          <w:sz w:val="24"/>
          <w:szCs w:val="24"/>
          <w:highlight w:val="none"/>
          <w:lang w:val="en-US" w:eastAsia="zh-CN" w:bidi="ar-SA"/>
        </w:rPr>
        <w:t>2</w:t>
      </w:r>
      <w:r>
        <w:rPr>
          <w:rFonts w:hint="default" w:ascii="仿宋" w:hAnsi="仿宋" w:eastAsia="仿宋" w:cs="Times New Roman"/>
          <w:kern w:val="2"/>
          <w:sz w:val="24"/>
          <w:szCs w:val="24"/>
          <w:highlight w:val="none"/>
          <w:lang w:val="en-US" w:eastAsia="zh-CN" w:bidi="ar-SA"/>
        </w:rPr>
        <w:t>年-至今</w:t>
      </w:r>
      <w:r>
        <w:rPr>
          <w:rFonts w:hint="eastAsia" w:ascii="仿宋" w:hAnsi="仿宋" w:eastAsia="仿宋" w:cs="Times New Roman"/>
          <w:kern w:val="2"/>
          <w:sz w:val="24"/>
          <w:szCs w:val="24"/>
          <w:highlight w:val="none"/>
          <w:lang w:val="en-US" w:eastAsia="zh-CN" w:bidi="ar-SA"/>
        </w:rPr>
        <w:t>2</w:t>
      </w:r>
      <w:r>
        <w:rPr>
          <w:rFonts w:hint="default" w:ascii="仿宋" w:hAnsi="仿宋" w:eastAsia="仿宋" w:cs="Times New Roman"/>
          <w:kern w:val="2"/>
          <w:sz w:val="24"/>
          <w:szCs w:val="24"/>
          <w:highlight w:val="none"/>
          <w:lang w:val="en-US" w:eastAsia="zh-CN" w:bidi="ar-SA"/>
        </w:rPr>
        <w:t>个及以上类似项目业绩证明材料（以合同</w:t>
      </w:r>
      <w:r>
        <w:rPr>
          <w:rFonts w:hint="eastAsia" w:ascii="仿宋" w:hAnsi="仿宋" w:eastAsia="仿宋" w:cs="Times New Roman"/>
          <w:kern w:val="2"/>
          <w:sz w:val="24"/>
          <w:szCs w:val="24"/>
          <w:highlight w:val="none"/>
          <w:lang w:val="en-US" w:eastAsia="zh-CN" w:bidi="ar-SA"/>
        </w:rPr>
        <w:t>或验收报告</w:t>
      </w:r>
      <w:r>
        <w:rPr>
          <w:rFonts w:hint="default" w:ascii="仿宋" w:hAnsi="仿宋" w:eastAsia="仿宋" w:cs="Times New Roman"/>
          <w:kern w:val="2"/>
          <w:sz w:val="24"/>
          <w:szCs w:val="24"/>
          <w:highlight w:val="none"/>
          <w:lang w:val="en-US" w:eastAsia="zh-CN" w:bidi="ar-SA"/>
        </w:rPr>
        <w:t>为准）</w:t>
      </w:r>
      <w:r>
        <w:rPr>
          <w:rFonts w:hint="eastAsia" w:ascii="仿宋" w:hAnsi="仿宋" w:eastAsia="仿宋" w:cs="Times New Roman"/>
          <w:kern w:val="2"/>
          <w:sz w:val="24"/>
          <w:szCs w:val="24"/>
          <w:highlight w:val="none"/>
          <w:lang w:val="en-US" w:eastAsia="zh-CN" w:bidi="ar-SA"/>
        </w:rPr>
        <w:t>;</w:t>
      </w:r>
    </w:p>
    <w:p w14:paraId="74FEA0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highlight w:val="none"/>
        </w:rPr>
      </w:pPr>
      <w:r>
        <w:rPr>
          <w:rFonts w:hint="eastAsia" w:ascii="仿宋" w:hAnsi="仿宋" w:eastAsia="仿宋"/>
          <w:sz w:val="24"/>
          <w:szCs w:val="24"/>
          <w:lang w:eastAsia="zh-CN"/>
        </w:rPr>
        <w:t>（</w:t>
      </w:r>
      <w:r>
        <w:rPr>
          <w:rFonts w:hint="eastAsia" w:ascii="仿宋" w:hAnsi="仿宋" w:eastAsia="仿宋"/>
          <w:sz w:val="24"/>
          <w:szCs w:val="24"/>
          <w:lang w:val="en-US" w:eastAsia="zh-CN"/>
        </w:rPr>
        <w:t>7</w:t>
      </w:r>
      <w:r>
        <w:rPr>
          <w:rFonts w:hint="eastAsia" w:ascii="仿宋" w:hAnsi="仿宋" w:eastAsia="仿宋"/>
          <w:sz w:val="24"/>
          <w:szCs w:val="24"/>
          <w:lang w:eastAsia="zh-CN"/>
        </w:rPr>
        <w:t>）</w:t>
      </w:r>
      <w:r>
        <w:rPr>
          <w:rFonts w:hint="eastAsia" w:ascii="仿宋" w:hAnsi="仿宋" w:eastAsia="仿宋"/>
          <w:sz w:val="24"/>
          <w:szCs w:val="24"/>
          <w:lang w:val="en-US" w:eastAsia="zh-CN"/>
        </w:rPr>
        <w:t>提供</w:t>
      </w:r>
      <w:r>
        <w:rPr>
          <w:rFonts w:hint="eastAsia" w:ascii="仿宋" w:hAnsi="仿宋" w:eastAsia="仿宋"/>
          <w:sz w:val="24"/>
          <w:szCs w:val="24"/>
        </w:rPr>
        <w:t>中华人民共和国应急管理部（https://www.mem.gov.cn/）”近一年内无公开曝光安全事件</w:t>
      </w:r>
      <w:r>
        <w:rPr>
          <w:rFonts w:hint="eastAsia" w:ascii="仿宋" w:hAnsi="仿宋" w:eastAsia="仿宋"/>
          <w:sz w:val="24"/>
          <w:szCs w:val="24"/>
          <w:lang w:val="en-US" w:eastAsia="zh-CN"/>
        </w:rPr>
        <w:t>证明材料</w:t>
      </w:r>
      <w:r>
        <w:rPr>
          <w:rFonts w:hint="eastAsia" w:ascii="仿宋" w:hAnsi="仿宋" w:eastAsia="仿宋"/>
          <w:sz w:val="24"/>
          <w:szCs w:val="24"/>
        </w:rPr>
        <w:t>；</w:t>
      </w:r>
    </w:p>
    <w:p w14:paraId="36B4AD3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bookmarkStart w:id="0" w:name="OLE_LINK8"/>
      <w:bookmarkStart w:id="1" w:name="OLE_LINK14"/>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8</w:t>
      </w:r>
      <w:r>
        <w:rPr>
          <w:rFonts w:hint="eastAsia" w:ascii="仿宋_GB2312" w:hAnsi="宋体" w:eastAsia="仿宋_GB2312" w:cs="Arial"/>
          <w:sz w:val="24"/>
          <w:szCs w:val="24"/>
          <w:lang w:eastAsia="zh-CN"/>
        </w:rPr>
        <w:t>）提供非联合体形式参与及如中标本项目不进行分包或转包承诺书</w:t>
      </w:r>
      <w:bookmarkEnd w:id="0"/>
      <w:r>
        <w:rPr>
          <w:rFonts w:hint="eastAsia" w:ascii="仿宋_GB2312" w:hAnsi="宋体" w:eastAsia="仿宋_GB2312" w:cs="Arial"/>
          <w:sz w:val="24"/>
          <w:szCs w:val="24"/>
          <w:lang w:eastAsia="zh-CN"/>
        </w:rPr>
        <w:t>（附件3）；</w:t>
      </w:r>
      <w:bookmarkEnd w:id="1"/>
    </w:p>
    <w:p w14:paraId="53C3DCD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9</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提供未列入</w:t>
      </w:r>
      <w:r>
        <w:rPr>
          <w:rFonts w:hint="eastAsia" w:ascii="仿宋_GB2312" w:hAnsi="宋体" w:eastAsia="仿宋_GB2312" w:cs="Arial"/>
          <w:sz w:val="24"/>
          <w:szCs w:val="24"/>
        </w:rPr>
        <w:t>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_GB2312" w:hAnsi="宋体" w:eastAsia="仿宋_GB2312" w:cs="Arial"/>
          <w:sz w:val="24"/>
          <w:szCs w:val="24"/>
        </w:rPr>
        <w:t>http://www.gsxt.gov.cn/index.html）严重违法失信企业名单</w:t>
      </w:r>
      <w:r>
        <w:rPr>
          <w:rFonts w:hint="eastAsia" w:ascii="仿宋_GB2312" w:hAnsi="宋体" w:eastAsia="仿宋_GB2312" w:cs="Arial"/>
          <w:sz w:val="24"/>
          <w:szCs w:val="24"/>
        </w:rPr>
        <w:fldChar w:fldCharType="end"/>
      </w:r>
      <w:r>
        <w:rPr>
          <w:rFonts w:hint="eastAsia" w:ascii="仿宋_GB2312" w:hAnsi="宋体" w:eastAsia="仿宋_GB2312" w:cs="Arial"/>
          <w:sz w:val="24"/>
          <w:szCs w:val="24"/>
          <w:lang w:val="en-US" w:eastAsia="zh-CN"/>
        </w:rPr>
        <w:t>的证明材料</w:t>
      </w:r>
      <w:r>
        <w:rPr>
          <w:rFonts w:hint="eastAsia" w:ascii="仿宋_GB2312" w:hAnsi="宋体" w:eastAsia="仿宋_GB2312" w:cs="Arial"/>
          <w:sz w:val="24"/>
          <w:szCs w:val="24"/>
          <w:lang w:eastAsia="zh-CN"/>
        </w:rPr>
        <w:t>；</w:t>
      </w:r>
    </w:p>
    <w:p w14:paraId="305E552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10</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 xml:space="preserve">保密承诺书（附件2）； </w:t>
      </w:r>
    </w:p>
    <w:p w14:paraId="5B9CA8B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11</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关于聘用蒙牛在职人员亲属（含特定关系人）及离职人员的告知函（附件</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w:t>
      </w:r>
    </w:p>
    <w:p w14:paraId="3D8D507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12</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提供阳光协议（附件5）</w:t>
      </w:r>
      <w:r>
        <w:rPr>
          <w:rFonts w:hint="eastAsia" w:ascii="仿宋_GB2312" w:hAnsi="宋体" w:eastAsia="仿宋_GB2312" w:cs="Arial"/>
          <w:sz w:val="24"/>
          <w:szCs w:val="24"/>
          <w:lang w:eastAsia="zh-CN"/>
        </w:rPr>
        <w:t>；</w:t>
      </w:r>
    </w:p>
    <w:p w14:paraId="62BE02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3F04B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2E488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10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5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9</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11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71D4DB4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C1470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6F02B9A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史福龙   </w:t>
      </w:r>
      <w:r>
        <w:rPr>
          <w:rFonts w:hint="eastAsia" w:ascii="仿宋_GB2312" w:hAnsi="宋体" w:eastAsia="仿宋_GB2312"/>
          <w:sz w:val="24"/>
          <w:szCs w:val="24"/>
        </w:rPr>
        <w:t xml:space="preserve"> </w:t>
      </w:r>
      <w:r>
        <w:rPr>
          <w:rFonts w:ascii="仿宋_GB2312" w:hAnsi="宋体" w:eastAsia="仿宋_GB2312"/>
          <w:sz w:val="24"/>
          <w:szCs w:val="24"/>
        </w:rPr>
        <w:t xml:space="preserve">     </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13474830806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采购人：内蒙古蒙牛乳业（集团）股份有限公司</w:t>
      </w:r>
    </w:p>
    <w:p w14:paraId="08B68E1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3360" w:firstLineChars="1400"/>
        <w:jc w:val="both"/>
        <w:rPr>
          <w:rFonts w:hint="default" w:ascii="仿宋" w:hAnsi="仿宋" w:eastAsia="仿宋" w:cs="仿宋"/>
          <w:sz w:val="24"/>
          <w:szCs w:val="24"/>
          <w:lang w:val="en-US" w:eastAsia="zh-CN"/>
        </w:rPr>
      </w:pP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8</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29</w:t>
      </w:r>
      <w:bookmarkStart w:id="3" w:name="_GoBack"/>
      <w:bookmarkEnd w:id="3"/>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A3A997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C63BB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BAD9F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0FF991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2F233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sz w:val="24"/>
          <w:szCs w:val="24"/>
        </w:rPr>
        <w:t>(项目编号:</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AC2C"/>
    <w:multiLevelType w:val="singleLevel"/>
    <w:tmpl w:val="4AB9A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3849"/>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52851DF"/>
    <w:rsid w:val="052B4CCF"/>
    <w:rsid w:val="053A4F12"/>
    <w:rsid w:val="05DE522C"/>
    <w:rsid w:val="0624290B"/>
    <w:rsid w:val="06AB60C8"/>
    <w:rsid w:val="06E96BF0"/>
    <w:rsid w:val="07571D2F"/>
    <w:rsid w:val="084F00A4"/>
    <w:rsid w:val="090366FA"/>
    <w:rsid w:val="09616F12"/>
    <w:rsid w:val="0B8909A2"/>
    <w:rsid w:val="0BE61950"/>
    <w:rsid w:val="0BE91440"/>
    <w:rsid w:val="0E78103B"/>
    <w:rsid w:val="0E9438E5"/>
    <w:rsid w:val="0EA8185F"/>
    <w:rsid w:val="0FC65D20"/>
    <w:rsid w:val="11194576"/>
    <w:rsid w:val="118F65E6"/>
    <w:rsid w:val="119177F2"/>
    <w:rsid w:val="11ED4E80"/>
    <w:rsid w:val="12DC35D3"/>
    <w:rsid w:val="13076D7C"/>
    <w:rsid w:val="1337349C"/>
    <w:rsid w:val="135E44C2"/>
    <w:rsid w:val="137000F1"/>
    <w:rsid w:val="14BD7487"/>
    <w:rsid w:val="16200000"/>
    <w:rsid w:val="184B21C1"/>
    <w:rsid w:val="1A7A4433"/>
    <w:rsid w:val="1BFC49DC"/>
    <w:rsid w:val="1C4A1A87"/>
    <w:rsid w:val="1C9126AD"/>
    <w:rsid w:val="1D247B6C"/>
    <w:rsid w:val="1E1E4F79"/>
    <w:rsid w:val="1FD55B0C"/>
    <w:rsid w:val="2252728E"/>
    <w:rsid w:val="23A66F47"/>
    <w:rsid w:val="23BC0A55"/>
    <w:rsid w:val="2443573A"/>
    <w:rsid w:val="25C66622"/>
    <w:rsid w:val="274E4B21"/>
    <w:rsid w:val="2778394C"/>
    <w:rsid w:val="28164083"/>
    <w:rsid w:val="28F23FF4"/>
    <w:rsid w:val="29A50535"/>
    <w:rsid w:val="29BA649E"/>
    <w:rsid w:val="2A9A140D"/>
    <w:rsid w:val="2BE94764"/>
    <w:rsid w:val="2C6B1363"/>
    <w:rsid w:val="2D4D7629"/>
    <w:rsid w:val="2DC218B7"/>
    <w:rsid w:val="2E923061"/>
    <w:rsid w:val="30E71E76"/>
    <w:rsid w:val="317F3195"/>
    <w:rsid w:val="31B4786F"/>
    <w:rsid w:val="31E3411E"/>
    <w:rsid w:val="33B46109"/>
    <w:rsid w:val="345D7DC5"/>
    <w:rsid w:val="34847DD4"/>
    <w:rsid w:val="35D26A97"/>
    <w:rsid w:val="35E328D9"/>
    <w:rsid w:val="361A2073"/>
    <w:rsid w:val="36F04374"/>
    <w:rsid w:val="37B31C60"/>
    <w:rsid w:val="37CD65F1"/>
    <w:rsid w:val="37F52D97"/>
    <w:rsid w:val="380D1E8F"/>
    <w:rsid w:val="3ABB2076"/>
    <w:rsid w:val="3C730015"/>
    <w:rsid w:val="3C90308E"/>
    <w:rsid w:val="3E1201FF"/>
    <w:rsid w:val="401144E6"/>
    <w:rsid w:val="422863B6"/>
    <w:rsid w:val="44DC50C3"/>
    <w:rsid w:val="45886FF9"/>
    <w:rsid w:val="45D57044"/>
    <w:rsid w:val="4A600544"/>
    <w:rsid w:val="4D9C1893"/>
    <w:rsid w:val="4DFC67D6"/>
    <w:rsid w:val="504D3319"/>
    <w:rsid w:val="534327B1"/>
    <w:rsid w:val="53651C00"/>
    <w:rsid w:val="556A671B"/>
    <w:rsid w:val="56CD0D0F"/>
    <w:rsid w:val="56F21A96"/>
    <w:rsid w:val="5847364F"/>
    <w:rsid w:val="588B2C30"/>
    <w:rsid w:val="58914855"/>
    <w:rsid w:val="58AB6E2E"/>
    <w:rsid w:val="59653481"/>
    <w:rsid w:val="5C7F2AAC"/>
    <w:rsid w:val="5CBB0910"/>
    <w:rsid w:val="5D290C69"/>
    <w:rsid w:val="5EDA221B"/>
    <w:rsid w:val="5F747FA2"/>
    <w:rsid w:val="614E39D9"/>
    <w:rsid w:val="61774699"/>
    <w:rsid w:val="61B03707"/>
    <w:rsid w:val="61C827FF"/>
    <w:rsid w:val="621023F8"/>
    <w:rsid w:val="62746E43"/>
    <w:rsid w:val="62E93375"/>
    <w:rsid w:val="636A043A"/>
    <w:rsid w:val="667E3DD4"/>
    <w:rsid w:val="684D0511"/>
    <w:rsid w:val="689478DF"/>
    <w:rsid w:val="69106C2A"/>
    <w:rsid w:val="6B623CC4"/>
    <w:rsid w:val="6C613F7C"/>
    <w:rsid w:val="6E5673E4"/>
    <w:rsid w:val="6ED24CBD"/>
    <w:rsid w:val="6EEB354F"/>
    <w:rsid w:val="72655E48"/>
    <w:rsid w:val="743106D8"/>
    <w:rsid w:val="74EE0377"/>
    <w:rsid w:val="754E0E15"/>
    <w:rsid w:val="76E15842"/>
    <w:rsid w:val="771D4F43"/>
    <w:rsid w:val="77832278"/>
    <w:rsid w:val="7855070D"/>
    <w:rsid w:val="78884E2F"/>
    <w:rsid w:val="7AAD4830"/>
    <w:rsid w:val="7B0F0382"/>
    <w:rsid w:val="7BC25B09"/>
    <w:rsid w:val="7C014E34"/>
    <w:rsid w:val="7C89431E"/>
    <w:rsid w:val="7CB65C1E"/>
    <w:rsid w:val="7E5971A9"/>
    <w:rsid w:val="7EA97463"/>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9466</Words>
  <Characters>10038</Characters>
  <Lines>18</Lines>
  <Paragraphs>5</Paragraphs>
  <TotalTime>54</TotalTime>
  <ScaleCrop>false</ScaleCrop>
  <LinksUpToDate>false</LinksUpToDate>
  <CharactersWithSpaces>10711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2025-08-28T08:07:54Z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