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lang w:eastAsia="zh-CN"/>
        </w:rPr>
        <w:t>蒙牛乳业奶粉事业部潮州工厂麦片车间空调改造项目</w:t>
      </w:r>
      <w:r>
        <w:rPr>
          <w:rFonts w:hint="eastAsia" w:ascii="仿宋" w:hAnsi="仿宋" w:eastAsia="仿宋" w:cs="仿宋"/>
          <w:b/>
          <w:bCs/>
          <w:kern w:val="0"/>
          <w:sz w:val="36"/>
          <w:szCs w:val="36"/>
          <w:highlight w:val="none"/>
        </w:rPr>
        <w:t>竞争性谈判信息</w:t>
      </w:r>
      <w:r>
        <w:rPr>
          <w:rFonts w:hint="eastAsia" w:ascii="仿宋" w:hAnsi="仿宋" w:eastAsia="仿宋" w:cs="仿宋"/>
          <w:b/>
          <w:bCs/>
          <w:kern w:val="0"/>
          <w:sz w:val="36"/>
          <w:szCs w:val="36"/>
          <w:highlight w:val="none"/>
          <w:lang w:val="en-US" w:eastAsia="zh-CN"/>
        </w:rPr>
        <w:t>二次</w:t>
      </w:r>
      <w:r>
        <w:rPr>
          <w:rFonts w:hint="eastAsia" w:ascii="仿宋" w:hAnsi="仿宋" w:eastAsia="仿宋" w:cs="仿宋"/>
          <w:b/>
          <w:bCs/>
          <w:kern w:val="0"/>
          <w:sz w:val="36"/>
          <w:szCs w:val="36"/>
          <w:highlight w:val="none"/>
        </w:rPr>
        <w:t>公告</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蒙牛乳业奶粉事业部潮州工厂麦片车间空调改造项目</w:t>
      </w:r>
      <w:r>
        <w:rPr>
          <w:rFonts w:hint="eastAsia" w:ascii="仿宋" w:hAnsi="仿宋" w:eastAsia="仿宋" w:cs="仿宋"/>
          <w:sz w:val="28"/>
          <w:szCs w:val="28"/>
          <w:highlight w:val="none"/>
        </w:rPr>
        <w:t>进行竞争性谈判，欢迎符合资格条件的投标人参加。</w:t>
      </w:r>
    </w:p>
    <w:p w14:paraId="3F6DC88B">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一、项目编号：MNCGJH-20250714-0006</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蒙牛乳业奶粉事业部</w:t>
      </w:r>
      <w:bookmarkStart w:id="3" w:name="_GoBack"/>
      <w:bookmarkEnd w:id="3"/>
      <w:r>
        <w:rPr>
          <w:rFonts w:hint="eastAsia" w:ascii="仿宋" w:hAnsi="仿宋" w:eastAsia="仿宋" w:cs="仿宋"/>
          <w:b/>
          <w:bCs/>
          <w:sz w:val="28"/>
          <w:szCs w:val="28"/>
          <w:highlight w:val="none"/>
          <w:lang w:eastAsia="zh-CN"/>
        </w:rPr>
        <w:t>潮州工厂麦片车间空调改造项目</w:t>
      </w:r>
    </w:p>
    <w:p w14:paraId="69F8A0B4">
      <w:pPr>
        <w:pStyle w:val="15"/>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76CB4A54">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1、简介：</w:t>
      </w:r>
    </w:p>
    <w:p w14:paraId="193E91E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潮州工厂麦片车间清洁作业区使用的除湿系统为全新风除湿模式，现对各空调机组及除湿设备的运行状况及存在问题进行维修改造，将现有前表冷风柜组合，更换为原蒙雅实验室闲置的全新风净化空调机组（JXZK11），更换除湿设备及相应风管，达到满足车间正常生产的温湿度及压差环境的目的。</w:t>
      </w:r>
    </w:p>
    <w:p w14:paraId="6C7A1EB8">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（2）潮州工厂一车间空调机组因不符合集团能源管控要求，需进行空调机组改造维修。</w:t>
      </w:r>
    </w:p>
    <w:p w14:paraId="1677D6FE">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2、采购范围：</w:t>
      </w:r>
    </w:p>
    <w:p w14:paraId="3A5E6DB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（1）潮州工厂麦片车间清洁作业区改造：调拨新风净化空调机组、更换除湿设备及相应风管的采购安装。</w:t>
      </w:r>
    </w:p>
    <w:p w14:paraId="3BDDA155">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（2）潮州工厂一车间空调机组改造：冷却泵、冷冻泵的拆除、采购、安装和调试；冷冻油的采购、更换。</w:t>
      </w:r>
    </w:p>
    <w:p w14:paraId="10AF742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3、工期：潮州工厂麦片车间清洁作业区改造45天、潮州工厂一车间空调机组改造36天。</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3EDC7FF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p>
    <w:p w14:paraId="7B79BFF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r>
        <w:rPr>
          <w:rFonts w:hint="eastAsia" w:ascii="仿宋" w:hAnsi="仿宋" w:eastAsia="仿宋" w:cs="仿宋"/>
          <w:sz w:val="28"/>
          <w:szCs w:val="28"/>
          <w:highlight w:val="none"/>
        </w:rPr>
        <w:t>投标人须具有建设行政主管部门颁发的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乙级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建筑机电工程专业承包乙级</w:t>
      </w:r>
      <w:r>
        <w:rPr>
          <w:rFonts w:hint="eastAsia" w:ascii="仿宋" w:hAnsi="仿宋" w:eastAsia="仿宋" w:cs="仿宋"/>
          <w:sz w:val="28"/>
          <w:szCs w:val="28"/>
          <w:highlight w:val="none"/>
        </w:rPr>
        <w:t>及以上资质(以上资质为住建部最新资质要求《住房和城乡建设部关于印发建设工程企业资质管理制度改革方案的通知》)。如投标人还未申办以上资质，投标人须具有建设行政主管部门颁发的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建筑机电安装工程专业承包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rPr>
        <w:t>及以上资质，且资质证书在有效期内</w:t>
      </w:r>
      <w:r>
        <w:rPr>
          <w:rFonts w:hint="eastAsia" w:ascii="仿宋" w:hAnsi="仿宋" w:eastAsia="仿宋" w:cs="仿宋"/>
          <w:sz w:val="28"/>
          <w:szCs w:val="28"/>
          <w:highlight w:val="none"/>
          <w:lang w:eastAsia="zh-CN"/>
        </w:rPr>
        <w:t>；</w:t>
      </w:r>
    </w:p>
    <w:p w14:paraId="229BFCC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、投标人必须具有有效的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安全生产许可证</w:t>
      </w:r>
      <w:r>
        <w:rPr>
          <w:rFonts w:hint="eastAsia" w:ascii="仿宋" w:hAnsi="仿宋" w:eastAsia="仿宋" w:cs="仿宋"/>
          <w:sz w:val="28"/>
          <w:szCs w:val="28"/>
          <w:highlight w:val="none"/>
          <w:lang w:eastAsia="zh-CN"/>
        </w:rPr>
        <w:t>》；</w:t>
      </w:r>
    </w:p>
    <w:p w14:paraId="5FEF595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4、投标人拟派项目经理须为在本企业注册的建造师，具备二级及以上注册建造师执业资格和有效的安全生产考核合格证书；</w:t>
      </w:r>
    </w:p>
    <w:p w14:paraId="069A52B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5、投标人在“中华人民共和国应急管理部（https://www.mem.gov.cn/）”近一年内无公开曝光的安全事件；</w:t>
      </w:r>
    </w:p>
    <w:p w14:paraId="531DF9A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6、投标人必须具有一般纳税人资格；</w:t>
      </w:r>
    </w:p>
    <w:p w14:paraId="7EAA5B4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7、投标人须具有近1年（2024年1月1至今）任意3个月的依法纳税证明材料和社保缴纳证明材料；</w:t>
      </w:r>
    </w:p>
    <w:p w14:paraId="624E2C8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8、投标人近三年（2022年1月1日至今）须具有2个及以上类似项目业绩（以合同为准）；</w:t>
      </w:r>
    </w:p>
    <w:p w14:paraId="70EFE5F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9、投标人须具有（2022年至2024年）财务报表或经第三方审计的财务报告（新成立企业提供成立年度至投标截止日的财务审计报告或财务报表）；</w:t>
      </w:r>
    </w:p>
    <w:p w14:paraId="1CF6D50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10、投标人未被列入国家企业信用信息公示系统（http://www.gsxt.gov.cn/index.html）严重违法失信企业名单；</w:t>
      </w:r>
    </w:p>
    <w:p w14:paraId="27A66A4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11、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p>
    <w:p w14:paraId="6D85851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12、本次竞谈项目不接受多家单位联合报价，不允许分包或转包；</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13、不接受中粮及蒙牛供应商黑名单（</w:t>
      </w:r>
      <w:r>
        <w:rPr>
          <w:rFonts w:hint="eastAsia" w:ascii="仿宋" w:hAnsi="仿宋" w:eastAsia="仿宋" w:cs="仿宋"/>
          <w:sz w:val="28"/>
          <w:szCs w:val="28"/>
          <w:highlight w:val="none"/>
        </w:rPr>
        <w:tab/>
      </w:r>
      <w:r>
        <w:rPr>
          <w:rFonts w:hint="eastAsia" w:ascii="仿宋" w:hAnsi="仿宋" w:eastAsia="仿宋" w:cs="仿宋"/>
          <w:sz w:val="28"/>
          <w:szCs w:val="28"/>
          <w:highlight w:val="none"/>
        </w:rPr>
        <w:t>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610F777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615654D2">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467C2B57">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64D18B3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3759D90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70"/>
      <w:bookmarkStart w:id="1" w:name="OLE_LINK69"/>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5E1ADAC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362DA06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2024年1月1日至今任意3个月）在本单位的社保证明材料</w:t>
      </w:r>
      <w:r>
        <w:rPr>
          <w:rFonts w:hint="eastAsia" w:ascii="仿宋" w:hAnsi="仿宋" w:eastAsia="仿宋" w:cs="仿宋"/>
          <w:sz w:val="28"/>
          <w:szCs w:val="28"/>
          <w:highlight w:val="none"/>
        </w:rPr>
        <w:t>。</w:t>
      </w:r>
    </w:p>
    <w:p w14:paraId="5C3BF1C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val="en-US" w:eastAsia="zh-CN"/>
        </w:rPr>
        <w:t>提供</w:t>
      </w:r>
      <w:r>
        <w:rPr>
          <w:rFonts w:hint="eastAsia" w:ascii="仿宋" w:hAnsi="仿宋" w:eastAsia="仿宋"/>
          <w:sz w:val="28"/>
          <w:szCs w:val="28"/>
          <w:highlight w:val="none"/>
        </w:rPr>
        <w:t>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乙级</w:t>
      </w:r>
      <w:r>
        <w:rPr>
          <w:rFonts w:hint="eastAsia" w:ascii="仿宋" w:hAnsi="仿宋" w:eastAsia="仿宋" w:cs="仿宋"/>
          <w:sz w:val="28"/>
          <w:szCs w:val="28"/>
          <w:highlight w:val="none"/>
          <w:lang w:val="en-US" w:eastAsia="zh-CN"/>
        </w:rPr>
        <w:t>或</w:t>
      </w:r>
      <w:r>
        <w:rPr>
          <w:rFonts w:hint="eastAsia" w:ascii="仿宋" w:hAnsi="仿宋" w:eastAsia="仿宋"/>
          <w:color w:val="FF0000"/>
          <w:sz w:val="28"/>
          <w:szCs w:val="28"/>
          <w:highlight w:val="none"/>
        </w:rPr>
        <w:t>建筑机电工程专业承包乙</w:t>
      </w:r>
      <w:r>
        <w:rPr>
          <w:rFonts w:hint="eastAsia" w:ascii="仿宋" w:hAnsi="仿宋" w:eastAsia="仿宋"/>
          <w:sz w:val="28"/>
          <w:szCs w:val="28"/>
          <w:highlight w:val="none"/>
        </w:rPr>
        <w:t>级及以上资质</w:t>
      </w:r>
      <w:r>
        <w:rPr>
          <w:rFonts w:hint="eastAsia" w:ascii="仿宋" w:hAnsi="仿宋" w:eastAsia="仿宋"/>
          <w:sz w:val="28"/>
          <w:szCs w:val="28"/>
          <w:highlight w:val="none"/>
          <w:lang w:val="en-US" w:eastAsia="zh-CN"/>
        </w:rPr>
        <w:t>证书</w:t>
      </w:r>
      <w:r>
        <w:rPr>
          <w:rFonts w:hint="eastAsia" w:ascii="仿宋" w:hAnsi="仿宋" w:eastAsia="仿宋"/>
          <w:sz w:val="28"/>
          <w:szCs w:val="28"/>
          <w:highlight w:val="none"/>
        </w:rPr>
        <w:t>(以上资质为住建部最新资质要求《住房和城乡建设部关于印发建设工程企业资质管理制度改革方案的通知》)。如投标人还未申办以上资质，投标人须提供建设行政主管部门颁发的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lang w:val="en-US" w:eastAsia="zh-CN"/>
        </w:rPr>
        <w:t>或</w:t>
      </w:r>
      <w:r>
        <w:rPr>
          <w:rFonts w:hint="eastAsia" w:ascii="仿宋" w:hAnsi="仿宋" w:eastAsia="仿宋"/>
          <w:color w:val="FF0000"/>
          <w:sz w:val="28"/>
          <w:szCs w:val="28"/>
          <w:highlight w:val="none"/>
        </w:rPr>
        <w:t>建筑机电安装工程专业承包</w:t>
      </w:r>
      <w:r>
        <w:rPr>
          <w:rFonts w:hint="eastAsia" w:ascii="仿宋" w:hAnsi="仿宋" w:eastAsia="仿宋"/>
          <w:color w:val="FF0000"/>
          <w:sz w:val="28"/>
          <w:szCs w:val="28"/>
          <w:highlight w:val="none"/>
          <w:lang w:val="en-US" w:eastAsia="zh-CN"/>
        </w:rPr>
        <w:t>三</w:t>
      </w:r>
      <w:r>
        <w:rPr>
          <w:rFonts w:hint="eastAsia" w:ascii="仿宋" w:hAnsi="仿宋" w:eastAsia="仿宋"/>
          <w:color w:val="FF0000"/>
          <w:sz w:val="28"/>
          <w:szCs w:val="28"/>
          <w:highlight w:val="none"/>
        </w:rPr>
        <w:t>级</w:t>
      </w:r>
      <w:r>
        <w:rPr>
          <w:rFonts w:hint="eastAsia" w:ascii="仿宋" w:hAnsi="仿宋" w:eastAsia="仿宋"/>
          <w:sz w:val="28"/>
          <w:szCs w:val="28"/>
          <w:highlight w:val="none"/>
        </w:rPr>
        <w:t>及以上资质</w:t>
      </w:r>
      <w:r>
        <w:rPr>
          <w:rFonts w:hint="eastAsia" w:ascii="仿宋" w:hAnsi="仿宋" w:eastAsia="仿宋"/>
          <w:sz w:val="28"/>
          <w:szCs w:val="28"/>
          <w:highlight w:val="none"/>
          <w:lang w:val="en-US" w:eastAsia="zh-CN"/>
        </w:rPr>
        <w:t>证书</w:t>
      </w:r>
      <w:r>
        <w:rPr>
          <w:rFonts w:hint="eastAsia" w:ascii="仿宋" w:hAnsi="仿宋" w:eastAsia="仿宋"/>
          <w:sz w:val="28"/>
          <w:szCs w:val="28"/>
          <w:highlight w:val="none"/>
        </w:rPr>
        <w:t>，且资质证书在有效期内</w:t>
      </w:r>
      <w:r>
        <w:rPr>
          <w:rFonts w:hint="eastAsia" w:ascii="仿宋" w:hAnsi="仿宋" w:eastAsia="仿宋" w:cs="仿宋"/>
          <w:sz w:val="28"/>
          <w:szCs w:val="28"/>
          <w:highlight w:val="none"/>
          <w:lang w:eastAsia="zh-CN"/>
        </w:rPr>
        <w:t>；</w:t>
      </w:r>
    </w:p>
    <w:p w14:paraId="402DE2F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提供有效的《安全生产许可证》；</w:t>
      </w:r>
    </w:p>
    <w:p w14:paraId="0B47C38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（5）提供拟派项目经理须为在本企业注册的专业二级及以上注册建造师证书和有效的安全生产考核合格证证书；</w:t>
      </w:r>
    </w:p>
    <w:p w14:paraId="279B662A">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（6）提供“中华人民共和国应急管理部（https://www.mem.gov.cn/）”近一年内无公开曝光的安全事件；</w:t>
      </w:r>
    </w:p>
    <w:p w14:paraId="14784CC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（7）提供企业一般纳税人认定资格证明材料及提供已开出税率13%的增值税专用发票复印件。</w:t>
      </w:r>
    </w:p>
    <w:p w14:paraId="504661D1">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提供企业最近1年（2024年1月1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51F3AF2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（9）提供近三年（2022年1月1日至今）须具有2个及以上类似项目业绩（以合同为准）。</w:t>
      </w:r>
    </w:p>
    <w:p w14:paraId="126732F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（10）提供近三年（2022年至2024年）经过第三方专业审计机构审计的财务报告或财务报表（新成立企业提供成立年度至投标截止日的财务审计报告或财务报表）。</w:t>
      </w:r>
    </w:p>
    <w:p w14:paraId="76CBA132">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（11）提供本企业未被列入国家企业信用信息公示系统（http://www.gsxt.gov.cn/index.html）严重违法失信企业名单的证明材料。</w:t>
      </w:r>
    </w:p>
    <w:p w14:paraId="4DCB07A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（12）提供保密承诺书。（附件2）</w:t>
      </w:r>
    </w:p>
    <w:p w14:paraId="50399BEE">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（13）提供非联合体形式参与，及如中标本项目不进行分包或转包承诺书。（附件3）</w:t>
      </w:r>
    </w:p>
    <w:p w14:paraId="3884A536">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（14）提供关于聘用蒙牛在职人员亲属（含特定关系人）及离职人员的告知函。（附件4和附件5）</w:t>
      </w:r>
    </w:p>
    <w:p w14:paraId="2762DA38">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6B54B42E">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）”进行线上提交，进行资格审查（过期提交不予受理），审查合格后方可下载询价单（仅作为发放谈判文件的依据）。</w:t>
      </w:r>
    </w:p>
    <w:p w14:paraId="5DC0E9B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5249182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24D7BB3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08</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08</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05</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50874F7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08</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08</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lang w:val="en-US" w:eastAsia="zh-CN"/>
        </w:rPr>
        <w:t>时</w:t>
      </w:r>
    </w:p>
    <w:p w14:paraId="5874BA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08</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08</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发售谈判文件，谈判文件每套售价：人民币</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元（仅支持对公转账），售后不退。（汇款后将回执扫描后上传至蒙牛集团电子采购招标平台）</w:t>
      </w:r>
    </w:p>
    <w:p w14:paraId="1905B9D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67F621A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开户银行：兴业银行有限公司呼和浩特巨海城支行</w:t>
      </w:r>
    </w:p>
    <w:p w14:paraId="7B7A903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收款单位：内蒙古华晟工程项目管理有限公司呼和浩特一分公司</w:t>
      </w:r>
    </w:p>
    <w:p w14:paraId="1F95929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开户银行账号：592120100100101521</w:t>
      </w:r>
    </w:p>
    <w:p w14:paraId="4D7B04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66A4C0E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08</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22</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分（以发出的谈判文件为准）</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9F4E047">
      <w:pPr>
        <w:pStyle w:val="5"/>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3172DFEF">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15E8C258">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14F9845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CD79DD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162DCF52">
      <w:pPr>
        <w:pStyle w:val="5"/>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2F966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DAD7656">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0B501B5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26487CD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4"/>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076CD400">
      <w:pPr>
        <w:pStyle w:val="2"/>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31</w:t>
      </w:r>
      <w:r>
        <w:rPr>
          <w:rFonts w:hint="eastAsia" w:ascii="仿宋" w:hAnsi="仿宋" w:eastAsia="仿宋" w:cs="仿宋"/>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22B902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32C3BAE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p>
    <w:p w14:paraId="68C3DA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投标人名称：</w:t>
      </w:r>
      <w:r>
        <w:rPr>
          <w:rFonts w:hint="eastAsia" w:ascii="仿宋" w:hAnsi="仿宋" w:eastAsia="仿宋" w:cs="仿宋"/>
          <w:sz w:val="28"/>
          <w:szCs w:val="28"/>
          <w:highlight w:val="none"/>
          <w:u w:val="single"/>
        </w:rPr>
        <w:t xml:space="preserve">                             </w:t>
      </w:r>
    </w:p>
    <w:p w14:paraId="3D5F7B1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企业类型：</w:t>
      </w:r>
      <w:r>
        <w:rPr>
          <w:rFonts w:hint="eastAsia" w:ascii="仿宋" w:hAnsi="仿宋" w:eastAsia="仿宋" w:cs="仿宋"/>
          <w:sz w:val="28"/>
          <w:szCs w:val="28"/>
          <w:highlight w:val="none"/>
          <w:u w:val="single"/>
        </w:rPr>
        <w:t xml:space="preserve">                                </w:t>
      </w:r>
    </w:p>
    <w:p w14:paraId="70463F7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w:t>
      </w:r>
    </w:p>
    <w:p w14:paraId="6373E36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5BA1D54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p w14:paraId="5B6BEB8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系  </w:t>
      </w:r>
      <w:r>
        <w:rPr>
          <w:rFonts w:hint="eastAsia" w:ascii="仿宋" w:hAnsi="仿宋" w:eastAsia="仿宋" w:cs="仿宋"/>
          <w:sz w:val="28"/>
          <w:szCs w:val="28"/>
          <w:highlight w:val="none"/>
          <w:u w:val="single"/>
        </w:rPr>
        <w:t>投 标 人 全 称</w:t>
      </w:r>
      <w:r>
        <w:rPr>
          <w:rFonts w:hint="eastAsia" w:ascii="仿宋" w:hAnsi="仿宋" w:eastAsia="仿宋" w:cs="仿宋"/>
          <w:sz w:val="28"/>
          <w:szCs w:val="28"/>
          <w:highlight w:val="none"/>
        </w:rPr>
        <w:t>的法定代表人。</w:t>
      </w:r>
    </w:p>
    <w:p w14:paraId="62AB139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14:paraId="1E765C7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63DDF79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1B3C119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3208E6CD">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bl>
      <w:tblPr>
        <w:tblStyle w:val="11"/>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法人身份证正面</w:t>
            </w:r>
          </w:p>
        </w:tc>
        <w:tc>
          <w:tcPr>
            <w:tcW w:w="4920" w:type="dxa"/>
            <w:shd w:val="clear" w:color="auto" w:fill="auto"/>
          </w:tcPr>
          <w:p w14:paraId="1A93099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c>
          <w:tcPr>
            <w:tcW w:w="4920" w:type="dxa"/>
            <w:shd w:val="clear" w:color="auto" w:fill="auto"/>
          </w:tcPr>
          <w:p w14:paraId="62585AE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r>
    </w:tbl>
    <w:p w14:paraId="6189A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232EF8D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kern w:val="0"/>
          <w:sz w:val="28"/>
          <w:szCs w:val="28"/>
          <w:highlight w:val="none"/>
        </w:rPr>
      </w:pPr>
    </w:p>
    <w:p w14:paraId="6505C51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4356C85F">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30"/>
          <w:szCs w:val="30"/>
          <w:highlight w:val="none"/>
          <w:lang w:val="en-US" w:eastAsia="zh-CN"/>
        </w:rPr>
        <w:t>（招标人名称）</w:t>
      </w:r>
      <w:r>
        <w:rPr>
          <w:rFonts w:hint="eastAsia" w:ascii="仿宋" w:hAnsi="仿宋" w:eastAsia="仿宋" w:cs="仿宋"/>
          <w:sz w:val="28"/>
          <w:szCs w:val="28"/>
          <w:highlight w:val="none"/>
        </w:rPr>
        <w:t>：</w:t>
      </w:r>
    </w:p>
    <w:p w14:paraId="601F14C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30"/>
          <w:szCs w:val="30"/>
          <w:highlight w:val="none"/>
        </w:rPr>
        <w:t>竞争性谈判</w:t>
      </w:r>
      <w:r>
        <w:rPr>
          <w:rFonts w:hint="eastAsia" w:ascii="仿宋" w:hAnsi="仿宋" w:eastAsia="仿宋" w:cs="仿宋"/>
          <w:sz w:val="28"/>
          <w:szCs w:val="28"/>
          <w:highlight w:val="none"/>
        </w:rPr>
        <w:t>活动中的一切事宜。</w:t>
      </w:r>
    </w:p>
    <w:p w14:paraId="6349DD4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0E1444F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7883D79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法定代表人（签字或盖章）： </w:t>
      </w:r>
    </w:p>
    <w:p w14:paraId="428B6A0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04ED00C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身份证号码：</w:t>
      </w:r>
    </w:p>
    <w:p w14:paraId="03B3073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p>
    <w:p w14:paraId="1024DF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职      务：</w:t>
      </w:r>
    </w:p>
    <w:p w14:paraId="5B4AC6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年  月  日    </w:t>
      </w:r>
    </w:p>
    <w:p w14:paraId="288AA7E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w:t>
      </w:r>
    </w:p>
    <w:tbl>
      <w:tblPr>
        <w:tblStyle w:val="11"/>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法定代表人身份证复印件（正反面）</w:t>
            </w:r>
          </w:p>
        </w:tc>
        <w:tc>
          <w:tcPr>
            <w:tcW w:w="4930" w:type="dxa"/>
          </w:tcPr>
          <w:p w14:paraId="41C3873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9" w:hRule="atLeast"/>
          <w:jc w:val="center"/>
        </w:trPr>
        <w:tc>
          <w:tcPr>
            <w:tcW w:w="5215" w:type="dxa"/>
            <w:vAlign w:val="center"/>
          </w:tcPr>
          <w:p w14:paraId="2E30EF4B">
            <w:pPr>
              <w:keepNext w:val="0"/>
              <w:keepLines w:val="0"/>
              <w:pageBreakBefore w:val="0"/>
              <w:widowControl w:val="0"/>
              <w:kinsoku/>
              <w:wordWrap w:val="0"/>
              <w:overflowPunct/>
              <w:topLinePunct w:val="0"/>
              <w:autoSpaceDE/>
              <w:autoSpaceDN/>
              <w:bidi w:val="0"/>
              <w:spacing w:line="360" w:lineRule="auto"/>
              <w:ind w:right="0" w:rightChars="0"/>
              <w:jc w:val="center"/>
              <w:rPr>
                <w:rFonts w:hint="default" w:ascii="仿宋" w:hAnsi="仿宋" w:eastAsia="仿宋" w:cs="仿宋"/>
                <w:color w:val="BFBFBF" w:themeColor="background1" w:themeShade="BF"/>
                <w:sz w:val="28"/>
                <w:szCs w:val="28"/>
                <w:highlight w:val="none"/>
                <w:lang w:val="en-US" w:eastAsia="zh-CN"/>
              </w:rPr>
            </w:pPr>
            <w:r>
              <w:rPr>
                <w:rFonts w:hint="eastAsia" w:ascii="仿宋" w:hAnsi="仿宋" w:eastAsia="仿宋" w:cs="仿宋"/>
                <w:color w:val="BFBFBF" w:themeColor="background1" w:themeShade="BF"/>
                <w:sz w:val="28"/>
                <w:szCs w:val="28"/>
                <w:highlight w:val="none"/>
                <w:lang w:val="en-US" w:eastAsia="zh-CN"/>
              </w:rPr>
              <w:t>法人身份证正面</w:t>
            </w:r>
          </w:p>
        </w:tc>
        <w:tc>
          <w:tcPr>
            <w:tcW w:w="4930" w:type="dxa"/>
            <w:vAlign w:val="center"/>
          </w:tcPr>
          <w:p w14:paraId="0FC6E623">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正面</w:t>
            </w:r>
          </w:p>
        </w:tc>
      </w:tr>
      <w:tr w14:paraId="3246C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jc w:val="center"/>
        </w:trPr>
        <w:tc>
          <w:tcPr>
            <w:tcW w:w="5215" w:type="dxa"/>
            <w:vAlign w:val="center"/>
          </w:tcPr>
          <w:p w14:paraId="376C1F44">
            <w:pPr>
              <w:keepNext w:val="0"/>
              <w:keepLines w:val="0"/>
              <w:pageBreakBefore w:val="0"/>
              <w:widowControl w:val="0"/>
              <w:kinsoku/>
              <w:wordWrap w:val="0"/>
              <w:overflowPunct/>
              <w:topLinePunct w:val="0"/>
              <w:autoSpaceDE/>
              <w:autoSpaceDN/>
              <w:bidi w:val="0"/>
              <w:spacing w:line="360" w:lineRule="auto"/>
              <w:ind w:right="0" w:rightChars="0"/>
              <w:jc w:val="center"/>
              <w:rPr>
                <w:rFonts w:hint="default" w:ascii="仿宋" w:hAnsi="仿宋" w:eastAsia="仿宋" w:cs="仿宋"/>
                <w:color w:val="BFBFBF" w:themeColor="background1" w:themeShade="BF"/>
                <w:sz w:val="28"/>
                <w:szCs w:val="28"/>
                <w:highlight w:val="none"/>
                <w:lang w:val="en-US"/>
              </w:rPr>
            </w:pPr>
            <w:r>
              <w:rPr>
                <w:rFonts w:hint="eastAsia" w:ascii="仿宋" w:hAnsi="仿宋" w:eastAsia="仿宋" w:cs="仿宋"/>
                <w:color w:val="BFBFBF" w:themeColor="background1" w:themeShade="BF"/>
                <w:sz w:val="28"/>
                <w:szCs w:val="28"/>
                <w:highlight w:val="none"/>
                <w:lang w:val="en-US" w:eastAsia="zh-CN"/>
              </w:rPr>
              <w:t>法人身份证背面</w:t>
            </w:r>
          </w:p>
        </w:tc>
        <w:tc>
          <w:tcPr>
            <w:tcW w:w="4930" w:type="dxa"/>
            <w:vAlign w:val="center"/>
          </w:tcPr>
          <w:p w14:paraId="79179BF4">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背面</w:t>
            </w:r>
          </w:p>
        </w:tc>
      </w:tr>
    </w:tbl>
    <w:p w14:paraId="302AE83E">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2F7A4A2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155A31B0">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DAC59D7">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w:t>
      </w:r>
      <w:r>
        <w:rPr>
          <w:rFonts w:hint="eastAsia" w:ascii="仿宋" w:hAnsi="仿宋" w:eastAsia="仿宋" w:cs="仿宋"/>
          <w:i/>
          <w:color w:val="FF0000"/>
          <w:sz w:val="28"/>
          <w:szCs w:val="28"/>
          <w:highlight w:val="none"/>
          <w:shd w:val="clear" w:color="auto" w:fill="FFFFFF"/>
        </w:rPr>
        <w:t>要求：1、具备社保局出具的材料；2、具备本单位名称及授权委托人姓名</w:t>
      </w:r>
      <w:r>
        <w:rPr>
          <w:rFonts w:hint="eastAsia" w:ascii="仿宋" w:hAnsi="仿宋" w:eastAsia="仿宋" w:cs="仿宋"/>
          <w:sz w:val="28"/>
          <w:szCs w:val="28"/>
          <w:highlight w:val="none"/>
          <w:shd w:val="clear" w:color="auto" w:fill="FFFFFF"/>
        </w:rPr>
        <w:t>）</w:t>
      </w:r>
    </w:p>
    <w:p w14:paraId="09BEF73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4EC9D526">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60ED5D4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甲方：</w:t>
      </w:r>
      <w:r>
        <w:rPr>
          <w:rFonts w:hint="eastAsia" w:ascii="仿宋" w:hAnsi="仿宋" w:eastAsia="仿宋" w:cs="仿宋"/>
          <w:sz w:val="30"/>
          <w:szCs w:val="30"/>
          <w:highlight w:val="none"/>
          <w:lang w:val="en-US" w:eastAsia="zh-CN"/>
        </w:rPr>
        <w:t>（招标人名称）</w:t>
      </w:r>
    </w:p>
    <w:p w14:paraId="18C6810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地址：内蒙古呼和浩特市和林格尔县盛乐经济园区</w:t>
      </w:r>
    </w:p>
    <w:p w14:paraId="1A7654A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w:t>
      </w:r>
    </w:p>
    <w:p w14:paraId="456E1EC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w:t>
      </w:r>
    </w:p>
    <w:p w14:paraId="51330D88">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w:t>
      </w:r>
      <w:r>
        <w:rPr>
          <w:rFonts w:hint="eastAsia" w:ascii="仿宋" w:hAnsi="仿宋" w:eastAsia="仿宋" w:cs="仿宋"/>
          <w:color w:val="000000"/>
          <w:kern w:val="0"/>
          <w:sz w:val="28"/>
          <w:szCs w:val="28"/>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一、定义</w:t>
      </w:r>
    </w:p>
    <w:p w14:paraId="69A6A1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（一）由乙方以书面文件证明：该等信息已于披露之前已由乙方所持有；</w:t>
      </w:r>
    </w:p>
    <w:p w14:paraId="68473A3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（二）已公开发表或非因乙方作为或不作为的原因，已向公众披露；</w:t>
      </w:r>
    </w:p>
    <w:p w14:paraId="70B3B52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（三）已由甲方书面同意乙方公开；</w:t>
      </w:r>
    </w:p>
    <w:p w14:paraId="08055D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（四）由乙方在未使用该等机密信息的情形下独立开发；</w:t>
      </w:r>
    </w:p>
    <w:p w14:paraId="0D441E3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（五）乙方从第三方处合法、正当地取得，且该第三方对该等机密信息不承担保密义务。</w:t>
      </w:r>
    </w:p>
    <w:p w14:paraId="3D7608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二、保密</w:t>
      </w:r>
    </w:p>
    <w:p w14:paraId="45DDC4DF">
      <w:pPr>
        <w:pStyle w:val="9"/>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三、公开</w:t>
      </w:r>
    </w:p>
    <w:p w14:paraId="492FE02B">
      <w:pPr>
        <w:pStyle w:val="9"/>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highlight w:val="none"/>
        </w:rPr>
        <w:t xml:space="preserve">                                    </w:t>
      </w:r>
    </w:p>
    <w:p w14:paraId="2472C64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四、强制性披露</w:t>
      </w:r>
    </w:p>
    <w:p w14:paraId="55B829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五、返还资料</w:t>
      </w:r>
    </w:p>
    <w:p w14:paraId="64854AF4">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highlight w:val="none"/>
          <w:u w:val="single"/>
        </w:rPr>
        <w:t xml:space="preserve"> 15</w:t>
      </w:r>
      <w:r>
        <w:rPr>
          <w:rFonts w:hint="eastAsia" w:ascii="仿宋" w:hAnsi="仿宋" w:eastAsia="仿宋" w:cs="仿宋"/>
          <w:color w:val="000000"/>
          <w:kern w:val="0"/>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六、非授权许可</w:t>
      </w:r>
    </w:p>
    <w:p w14:paraId="45D698B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七、义务限定</w:t>
      </w:r>
    </w:p>
    <w:p w14:paraId="45CE0F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八、信息准确性</w:t>
      </w:r>
    </w:p>
    <w:p w14:paraId="708D77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九、期限</w:t>
      </w:r>
    </w:p>
    <w:p w14:paraId="4A7DE033">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本承诺书中乙方之保密义务应自乙方收到机密信息之日起</w:t>
      </w:r>
      <w:r>
        <w:rPr>
          <w:rFonts w:hint="eastAsia" w:ascii="仿宋" w:hAnsi="仿宋" w:eastAsia="仿宋" w:cs="仿宋"/>
          <w:color w:val="000000"/>
          <w:kern w:val="0"/>
          <w:sz w:val="28"/>
          <w:szCs w:val="28"/>
          <w:highlight w:val="none"/>
          <w:u w:val="single"/>
        </w:rPr>
        <w:t xml:space="preserve">  5  </w:t>
      </w:r>
      <w:r>
        <w:rPr>
          <w:rFonts w:hint="eastAsia" w:ascii="仿宋" w:hAnsi="仿宋" w:eastAsia="仿宋" w:cs="仿宋"/>
          <w:color w:val="000000"/>
          <w:kern w:val="0"/>
          <w:sz w:val="28"/>
          <w:szCs w:val="28"/>
          <w:highlight w:val="none"/>
        </w:rPr>
        <w:t>年内持续有效，且不因承诺书目的之达成而终止。</w:t>
      </w:r>
    </w:p>
    <w:p w14:paraId="5FCDAA11">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十、补充条款</w:t>
      </w:r>
    </w:p>
    <w:p w14:paraId="56CCB425">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（一）合规条款</w:t>
      </w:r>
    </w:p>
    <w:p w14:paraId="36B70632">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2、履约行为合规承诺：乙方承诺具有履行本承诺书约定的能力，且履行行为符合现行法律法规等规范性文件的要求。</w:t>
      </w:r>
    </w:p>
    <w:p w14:paraId="653EEC27">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4、合规检查：乙方应积极配合甲方的合规检查，理解并接受甲方对乙方的合规管理要求，同意配合合规检查，并不得隐瞒任何可能对甲方利益造成影响的信息。</w:t>
      </w:r>
    </w:p>
    <w:p w14:paraId="037B8BF1">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5、劳动用工:</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乙方承诺不雇佣、使用童工，保障其员工的劳动合法权益，不纵容、支持、实施歧视、威胁员工的行为或发布相关言论。</w:t>
      </w:r>
    </w:p>
    <w:p w14:paraId="1DD57F6A">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7、严格约束乙方员工及其代理人：乙方承诺严格遵守合规承诺条款，若乙方员工及乙方的代理人或代理机构违反相关承诺即视为乙方违反。</w:t>
      </w:r>
    </w:p>
    <w:p w14:paraId="73C3103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10、责任承担：如果乙方违反前述合规承诺条款，甲方有权要求乙方承担因此而给甲方造成的全部损失。</w:t>
      </w:r>
    </w:p>
    <w:p w14:paraId="06018C48">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12、适用原则：本承诺书中合规条款对乙方的要求与承诺书中其他条款不一致的，以对乙方要求更高的条款为准。</w:t>
      </w:r>
    </w:p>
    <w:p w14:paraId="0C3E2CDA">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（二）环境保护</w:t>
      </w:r>
    </w:p>
    <w:p w14:paraId="12944CB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（三）附件法律效力条款</w:t>
      </w:r>
    </w:p>
    <w:p w14:paraId="4E88B4E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十一、适用法律</w:t>
      </w:r>
    </w:p>
    <w:p w14:paraId="45771FE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highlight w:val="none"/>
          <w:u w:val="single"/>
        </w:rPr>
        <w:t>【二】</w:t>
      </w:r>
      <w:r>
        <w:rPr>
          <w:rFonts w:hint="eastAsia" w:ascii="仿宋" w:hAnsi="仿宋" w:eastAsia="仿宋" w:cs="仿宋"/>
          <w:color w:val="000000"/>
          <w:kern w:val="0"/>
          <w:sz w:val="28"/>
          <w:szCs w:val="28"/>
          <w:highlight w:val="none"/>
        </w:rPr>
        <w:t>种方式解决：</w:t>
      </w:r>
    </w:p>
    <w:p w14:paraId="04836A7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（一）向呼和浩特仲裁委员会申请仲裁。因仲裁产生的包括但不限于仲裁费、律师费、调查费、差旅费等，由乙方承担。</w:t>
      </w:r>
    </w:p>
    <w:p w14:paraId="5D7C1E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（二）向甲方所在地有管辖权的人民法院提起诉讼。因诉讼产生的包括但不限于诉讼费、律师费、调查费、差旅费等，由乙方承担。</w:t>
      </w:r>
    </w:p>
    <w:p w14:paraId="413596DE">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十二、违约责任及救济</w:t>
      </w:r>
    </w:p>
    <w:p w14:paraId="38DDB83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color w:val="000000"/>
          <w:kern w:val="0"/>
          <w:sz w:val="28"/>
          <w:szCs w:val="28"/>
          <w:highlight w:val="none"/>
        </w:rPr>
      </w:pPr>
      <w:r>
        <w:rPr>
          <w:rFonts w:hint="eastAsia" w:ascii="仿宋" w:hAnsi="仿宋" w:eastAsia="仿宋" w:cs="仿宋"/>
          <w:b/>
          <w:color w:val="000000"/>
          <w:kern w:val="0"/>
          <w:sz w:val="28"/>
          <w:szCs w:val="28"/>
          <w:highlight w:val="none"/>
        </w:rPr>
        <w:t>如果</w:t>
      </w:r>
      <w:r>
        <w:rPr>
          <w:rFonts w:hint="eastAsia" w:ascii="仿宋" w:hAnsi="仿宋" w:eastAsia="仿宋" w:cs="仿宋"/>
          <w:b/>
          <w:bCs/>
          <w:color w:val="000000"/>
          <w:kern w:val="0"/>
          <w:sz w:val="28"/>
          <w:szCs w:val="28"/>
          <w:highlight w:val="none"/>
        </w:rPr>
        <w:t>乙方</w:t>
      </w:r>
      <w:r>
        <w:rPr>
          <w:rFonts w:hint="eastAsia" w:ascii="仿宋" w:hAnsi="仿宋" w:eastAsia="仿宋" w:cs="仿宋"/>
          <w:b/>
          <w:color w:val="000000"/>
          <w:kern w:val="0"/>
          <w:sz w:val="28"/>
          <w:szCs w:val="28"/>
          <w:highlight w:val="none"/>
        </w:rPr>
        <w:t>违反本承诺书的任何规定情形,则甲方有权将乙方拉入蒙牛供应商黑名单，乙方应积极配合甲方在10个工作日内收回已经泄露的信息。</w:t>
      </w:r>
    </w:p>
    <w:p w14:paraId="4648C6B8">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十三、生效及份数</w:t>
      </w:r>
    </w:p>
    <w:p w14:paraId="65160347">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本承诺书经乙方签字盖章之日起生效。</w:t>
      </w:r>
    </w:p>
    <w:p w14:paraId="4386DFEB">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bCs/>
          <w:sz w:val="28"/>
          <w:szCs w:val="28"/>
          <w:highlight w:val="none"/>
        </w:rPr>
      </w:pPr>
    </w:p>
    <w:p w14:paraId="389F6C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（以下无正文）</w:t>
      </w:r>
    </w:p>
    <w:p w14:paraId="4D8D458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 xml:space="preserve">                            </w:t>
      </w:r>
    </w:p>
    <w:p w14:paraId="43D77E0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0C2C83B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4CFE82E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2EC5F9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br w:type="page"/>
      </w:r>
    </w:p>
    <w:p w14:paraId="06A142FC">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附件3</w:t>
      </w:r>
    </w:p>
    <w:p w14:paraId="5F277E0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000000"/>
          <w:sz w:val="28"/>
          <w:szCs w:val="28"/>
          <w:highlight w:val="none"/>
        </w:rPr>
      </w:pPr>
      <w:r>
        <w:rPr>
          <w:rFonts w:hint="eastAsia" w:ascii="仿宋" w:hAnsi="仿宋" w:eastAsia="仿宋" w:cs="仿宋"/>
          <w:b/>
          <w:sz w:val="28"/>
          <w:szCs w:val="28"/>
          <w:highlight w:val="none"/>
        </w:rPr>
        <w:t>非联合体竞谈，不分包或转包声明</w:t>
      </w:r>
    </w:p>
    <w:p w14:paraId="4B62650E">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66CAF631">
      <w:pPr>
        <w:pStyle w:val="5"/>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致:</w:t>
      </w:r>
      <w:r>
        <w:rPr>
          <w:rFonts w:hint="eastAsia" w:ascii="仿宋" w:hAnsi="仿宋" w:eastAsia="仿宋" w:cs="仿宋"/>
          <w:sz w:val="30"/>
          <w:szCs w:val="30"/>
          <w:highlight w:val="none"/>
          <w:lang w:val="en-US" w:eastAsia="zh-CN"/>
        </w:rPr>
        <w:t>（招标人名称）</w:t>
      </w:r>
    </w:p>
    <w:p w14:paraId="28EF222F">
      <w:pPr>
        <w:pStyle w:val="19"/>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项目(项目编号: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项目，我公司未采取联合体形式参与本项目，承诺中标后不分包或转包。</w:t>
      </w:r>
    </w:p>
    <w:p w14:paraId="70CFFECE">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E75B38D">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E6B5E8D">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特此声明!</w:t>
      </w:r>
    </w:p>
    <w:p w14:paraId="1322702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603C071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79E9944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10EBA46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3B0F715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3B9957A5">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303DC9B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4D7126B6">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08E6DFCC">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C245A1F">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39A215E7">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AE2960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附件4</w:t>
      </w:r>
    </w:p>
    <w:p w14:paraId="1B3490C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告知函</w:t>
      </w:r>
    </w:p>
    <w:p w14:paraId="4AA2FF2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30"/>
          <w:szCs w:val="30"/>
          <w:highlight w:val="none"/>
          <w:lang w:val="en-US" w:eastAsia="zh-CN"/>
        </w:rPr>
        <w:t>（招标人名称）</w:t>
      </w:r>
      <w:r>
        <w:rPr>
          <w:rFonts w:hint="eastAsia" w:ascii="仿宋" w:hAnsi="仿宋" w:eastAsia="仿宋" w:cs="仿宋"/>
          <w:sz w:val="28"/>
          <w:szCs w:val="28"/>
          <w:highlight w:val="none"/>
        </w:rPr>
        <w:t>:</w:t>
      </w:r>
    </w:p>
    <w:p w14:paraId="6A2270D9">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sz w:val="28"/>
          <w:szCs w:val="28"/>
          <w:highlight w:val="none"/>
        </w:rPr>
      </w:pPr>
      <w:r>
        <w:rPr>
          <w:rFonts w:hint="eastAsia" w:ascii="仿宋" w:hAnsi="仿宋" w:eastAsia="仿宋" w:cs="仿宋"/>
          <w:b/>
          <w:bCs/>
          <w:sz w:val="28"/>
          <w:szCs w:val="28"/>
          <w:highlight w:val="none"/>
          <w:u w:val="single"/>
        </w:rPr>
        <w:t>***公司</w:t>
      </w:r>
      <w:r>
        <w:rPr>
          <w:rFonts w:hint="eastAsia" w:ascii="仿宋" w:hAnsi="仿宋" w:eastAsia="仿宋" w:cs="仿宋"/>
          <w:sz w:val="28"/>
          <w:szCs w:val="28"/>
          <w:highlight w:val="none"/>
        </w:rPr>
        <w:t>（请填写标准注册公司名称）于</w:t>
      </w:r>
      <w:r>
        <w:rPr>
          <w:rFonts w:hint="eastAsia" w:ascii="仿宋" w:hAnsi="仿宋" w:eastAsia="仿宋" w:cs="仿宋"/>
          <w:b/>
          <w:bCs/>
          <w:sz w:val="28"/>
          <w:szCs w:val="28"/>
          <w:highlight w:val="none"/>
          <w:u w:val="single"/>
        </w:rPr>
        <w:t>**年**日</w:t>
      </w:r>
      <w:r>
        <w:rPr>
          <w:rFonts w:hint="eastAsia" w:ascii="仿宋" w:hAnsi="仿宋" w:eastAsia="仿宋" w:cs="仿宋"/>
          <w:sz w:val="28"/>
          <w:szCs w:val="28"/>
          <w:highlight w:val="none"/>
        </w:rPr>
        <w:t>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4650293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据此函，同意并告知如下：</w:t>
      </w:r>
    </w:p>
    <w:p w14:paraId="7DE676F6">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p>
    <w:p w14:paraId="2E55DFF0">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情况一：我公司员工未包括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p>
    <w:p w14:paraId="0C494061">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情况二：我公司员工</w:t>
      </w:r>
      <w:r>
        <w:rPr>
          <w:rFonts w:hint="eastAsia" w:ascii="仿宋" w:hAnsi="仿宋" w:eastAsia="仿宋" w:cs="仿宋"/>
          <w:i/>
          <w:color w:val="FF0000"/>
          <w:sz w:val="28"/>
          <w:szCs w:val="28"/>
          <w:highlight w:val="none"/>
          <w:u w:val="single"/>
        </w:rPr>
        <w:t>有（员工姓名：     ）/没有</w:t>
      </w:r>
      <w:r>
        <w:rPr>
          <w:rFonts w:hint="eastAsia" w:ascii="仿宋" w:hAnsi="仿宋" w:eastAsia="仿宋" w:cs="仿宋"/>
          <w:sz w:val="28"/>
          <w:szCs w:val="28"/>
          <w:highlight w:val="none"/>
        </w:rPr>
        <w:t>为</w:t>
      </w:r>
      <w:r>
        <w:rPr>
          <w:rFonts w:hint="eastAsia" w:ascii="仿宋" w:hAnsi="仿宋" w:eastAsia="仿宋" w:cs="仿宋"/>
          <w:color w:val="000000"/>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kern w:val="0"/>
          <w:sz w:val="28"/>
          <w:szCs w:val="28"/>
          <w:highlight w:val="none"/>
          <w:lang w:bidi="ar"/>
        </w:rPr>
        <w:t>或</w:t>
      </w:r>
      <w:r>
        <w:rPr>
          <w:rFonts w:hint="eastAsia" w:ascii="仿宋" w:hAnsi="仿宋" w:eastAsia="仿宋" w:cs="仿宋"/>
          <w:sz w:val="28"/>
          <w:szCs w:val="28"/>
          <w:highlight w:val="none"/>
        </w:rPr>
        <w:t>离职人员，经综合考量评估，该员工对于贵方组织的本次项目不存在任何利害关系。如若中选</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该员工将不会作为我公司</w:t>
      </w:r>
      <w:r>
        <w:rPr>
          <w:rFonts w:hint="eastAsia" w:ascii="仿宋" w:hAnsi="仿宋" w:eastAsia="仿宋" w:cs="仿宋"/>
          <w:color w:val="000000"/>
          <w:sz w:val="28"/>
          <w:szCs w:val="28"/>
          <w:highlight w:val="none"/>
          <w:lang w:val="zh-CN"/>
        </w:rPr>
        <w:t>服务团队</w:t>
      </w:r>
      <w:r>
        <w:rPr>
          <w:rFonts w:hint="eastAsia" w:ascii="仿宋" w:hAnsi="仿宋" w:eastAsia="仿宋" w:cs="仿宋"/>
          <w:color w:val="000000"/>
          <w:sz w:val="28"/>
          <w:szCs w:val="28"/>
          <w:highlight w:val="none"/>
        </w:rPr>
        <w:t>成员；合作期间如发现该员工</w:t>
      </w:r>
      <w:r>
        <w:rPr>
          <w:rFonts w:hint="eastAsia" w:ascii="仿宋" w:hAnsi="仿宋" w:eastAsia="仿宋" w:cs="仿宋"/>
          <w:sz w:val="28"/>
          <w:szCs w:val="28"/>
          <w:highlight w:val="none"/>
        </w:rPr>
        <w:t>以我公司名义与蒙牛集团进行相关业务往来，一经查实，我公司无条件接受蒙牛集团《阳光协议》中的相关处理条款。</w:t>
      </w:r>
    </w:p>
    <w:p w14:paraId="71377B36">
      <w:pPr>
        <w:keepNext w:val="0"/>
        <w:keepLines w:val="0"/>
        <w:pageBreakBefore w:val="0"/>
        <w:widowControl w:val="0"/>
        <w:tabs>
          <w:tab w:val="left" w:pos="1134"/>
        </w:tabs>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787ECCB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33814DE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02961EF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542DA15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6194F8F8">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37EBA15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p>
    <w:p w14:paraId="1BA3D95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r>
        <w:rPr>
          <w:rFonts w:hint="eastAsia" w:ascii="仿宋" w:hAnsi="仿宋" w:eastAsia="仿宋" w:cs="仿宋"/>
          <w:b/>
          <w:sz w:val="28"/>
          <w:szCs w:val="28"/>
          <w:highlight w:val="none"/>
        </w:rPr>
        <w:t>附件5：</w:t>
      </w:r>
    </w:p>
    <w:p w14:paraId="77D4CF6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阳光协议</w:t>
      </w:r>
    </w:p>
    <w:p w14:paraId="3A26114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甲方：</w:t>
      </w:r>
      <w:r>
        <w:rPr>
          <w:rFonts w:hint="eastAsia" w:ascii="仿宋" w:hAnsi="仿宋" w:eastAsia="仿宋" w:cs="仿宋"/>
          <w:sz w:val="30"/>
          <w:szCs w:val="30"/>
          <w:highlight w:val="none"/>
          <w:lang w:val="en-US" w:eastAsia="zh-CN"/>
        </w:rPr>
        <w:t>（招标人名称）</w:t>
      </w:r>
    </w:p>
    <w:p w14:paraId="6172206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w:t>
      </w:r>
    </w:p>
    <w:p w14:paraId="72528F3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一、基本原则</w:t>
      </w:r>
    </w:p>
    <w:p w14:paraId="06D69F9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甲乙双方均理解并愿意严格遵守中华人民共和国关于反商业贿赂的有关法律法规的规定，双方均理解任何形式的贿赂行为都将触犯法律，并受到法律的严惩。</w:t>
      </w:r>
    </w:p>
    <w:p w14:paraId="72B52AE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二、双方承诺</w:t>
      </w:r>
    </w:p>
    <w:p w14:paraId="2B3B27C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甲、乙双方应共同遵守以下承诺：</w:t>
      </w:r>
    </w:p>
    <w:p w14:paraId="1772952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1.坚守诚信原则，在合作过程中不以任何方式贿赂对方公司人员及其亲属、特定关系人，不发生舞弊、腐败、欺诈行为。</w:t>
      </w:r>
    </w:p>
    <w:p w14:paraId="21D0BD0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2.在执行业务合作中，双方均不得采用隐瞒、欺骗等手段侵占另一方财物，或损害另一方其他合法利益。</w:t>
      </w:r>
    </w:p>
    <w:p w14:paraId="5FF18B4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三、双方权利和义务</w:t>
      </w:r>
    </w:p>
    <w:p w14:paraId="60691F3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（一）甲方权利、义务</w:t>
      </w:r>
    </w:p>
    <w:p w14:paraId="3BDFE23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2.被甲方列入黑名单中的公司法定代表人、监事、出资人、联系人、业务对接人，在其他公司担任法人或类似职务或充当类似身份的，该公司视为已被列入黑名单。</w:t>
      </w:r>
    </w:p>
    <w:p w14:paraId="7DF3562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举报电话：0471-7393612</w:t>
      </w:r>
    </w:p>
    <w:p w14:paraId="1BC825F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举报邮箱：</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"mailto:mnjw@mengniu.cn"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mnjw@mengniu.cn</w:t>
      </w:r>
      <w:r>
        <w:rPr>
          <w:rFonts w:hint="eastAsia" w:ascii="仿宋" w:hAnsi="仿宋" w:eastAsia="仿宋" w:cs="仿宋"/>
          <w:sz w:val="28"/>
          <w:szCs w:val="28"/>
          <w:highlight w:val="none"/>
        </w:rPr>
        <w:fldChar w:fldCharType="end"/>
      </w:r>
    </w:p>
    <w:p w14:paraId="6866654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邮寄地址：内蒙古呼和浩特市和林格尔盛乐经济园区蒙牛乳业奶源楼311室 纪委办公室（收）</w:t>
      </w:r>
    </w:p>
    <w:p w14:paraId="3B49279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邮政编码：011517</w:t>
      </w:r>
    </w:p>
    <w:p w14:paraId="0081C0C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（二）乙方权利、义务</w:t>
      </w:r>
    </w:p>
    <w:p w14:paraId="0CCD46B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1.若甲方员工存在违反本协议所规定行为的，乙方有权拒绝并有义务向甲方进行举报。</w:t>
      </w:r>
    </w:p>
    <w:p w14:paraId="3A1FC68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2.乙方保证，在投标过程中，不发生以下行为：</w:t>
      </w:r>
    </w:p>
    <w:p w14:paraId="70113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（1）乙方在投标中存在提供虚假材料，欺骗中标；</w:t>
      </w:r>
    </w:p>
    <w:p w14:paraId="5EA9CF3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（2）乙方在投标时存在围标串标；</w:t>
      </w:r>
    </w:p>
    <w:p w14:paraId="337E859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（3）乙方在投标时贿赂、拉拢甲方人员；</w:t>
      </w:r>
    </w:p>
    <w:p w14:paraId="17D8805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（4）其他违反招投标相关规定的行为。</w:t>
      </w:r>
    </w:p>
    <w:p w14:paraId="67C0A58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3.乙方保证，在合作过程中，乙方的管理人员、股东、项目对接人员与甲方项目有关的管理人员或项目对接人员不存在亲属关系、共同利益关系。</w:t>
      </w:r>
    </w:p>
    <w:p w14:paraId="649B2C0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4.乙方保证，在双方合作过程中，未接受甲方离职二年内的管理人员和关键业务人员在其公司参股、控股或任职。</w:t>
      </w:r>
    </w:p>
    <w:p w14:paraId="2FF49EF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5.乙方保证，在合作过程中，乙方（含利益关联方）不得在甲方管理人员和关键业务人员的亲属（含特定关系人）的利益关联公司入股或发生有关业务。</w:t>
      </w:r>
    </w:p>
    <w:p w14:paraId="56828F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6.乙方不得与甲方人员发生任何形式的财物往来，期间包括但不限于合同履约期间。</w:t>
      </w:r>
    </w:p>
    <w:p w14:paraId="69CE603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7.若甲乙双方依照行业惯例或通常做法，可能发生商务性、礼节性的小额礼品互赠，则须在合同中明示，但每一年度累计金额不得超过1000元。</w:t>
      </w:r>
    </w:p>
    <w:p w14:paraId="2D4E41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（三）双方共同义务</w:t>
      </w:r>
    </w:p>
    <w:p w14:paraId="2E21669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甲乙双方有关人员的商业贿赂行为构成犯罪并移交司法机关处理的，合同各方应积极配合司法机关的处理。</w:t>
      </w:r>
    </w:p>
    <w:p w14:paraId="526A49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四、违约责任</w:t>
      </w:r>
    </w:p>
    <w:p w14:paraId="52A338C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乙方违反本协议约定，拒不履行相关义务的，视为乙方违约。</w:t>
      </w:r>
    </w:p>
    <w:p w14:paraId="5AC70EA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（1）按主合同总价款的20%支付违约金。</w:t>
      </w:r>
    </w:p>
    <w:p w14:paraId="5B42B1A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（2）无主合同总价款的按照已发生业务总额的20%支付违约金；无主合同总价款且暂未发生业务的，扣除合同履约保证金。</w:t>
      </w:r>
    </w:p>
    <w:p w14:paraId="28A6FCA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（3）因主合同解除造成甲方其他损失的，按照主合同约定赔偿损失。</w:t>
      </w:r>
    </w:p>
    <w:p w14:paraId="2938A05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（4）如乙方未按约定支付违约金，乙方同意并认可使用保证金、预付款、应付款等款项冲抵违约金。</w:t>
      </w:r>
    </w:p>
    <w:p w14:paraId="7C6AF5A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（5）若乙方积极配合查处接受商业贿赂人员的，甲方可减少或免除相对应的违约金。</w:t>
      </w:r>
    </w:p>
    <w:p w14:paraId="2E5DEFC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上述责任承担方式可单独适用，也可合并适用。</w:t>
      </w:r>
    </w:p>
    <w:p w14:paraId="64C4EB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 xml:space="preserve">五、协议的生效、变更或解除 </w:t>
      </w:r>
    </w:p>
    <w:p w14:paraId="717F128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1.本协议为主合同的补充内容，与主合同具有同样的法律效力。</w:t>
      </w:r>
    </w:p>
    <w:p w14:paraId="32F6EEE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2.本协议及主合同终止，本协议仍具有追溯相关责任的法律效力。</w:t>
      </w:r>
    </w:p>
    <w:p w14:paraId="46380BB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3.本协议的生效日期：自甲乙双方签字盖章之日起生效。 </w:t>
      </w:r>
    </w:p>
    <w:p w14:paraId="6F26C96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六、争议解决条款</w:t>
      </w:r>
    </w:p>
    <w:p w14:paraId="3E09E87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因履行本协议发生的任何纠纷，双方协商解决；如协商不成时，争议解决方式与主合同一致。</w:t>
      </w:r>
    </w:p>
    <w:p w14:paraId="1D27C19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七、其他</w:t>
      </w:r>
    </w:p>
    <w:p w14:paraId="1939DB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1.甲乙双方确认在签订本协议前已仔细阅读上述条款内容，对本协议所产生的法律责任已清楚知悉并承诺遵守。</w:t>
      </w:r>
    </w:p>
    <w:p w14:paraId="5BA87E1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2.本协议签订及甲乙双方各自持有份数均与主合同份数保持一致。</w:t>
      </w:r>
    </w:p>
    <w:p w14:paraId="69F96E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（以下无正文）</w:t>
      </w:r>
    </w:p>
    <w:p w14:paraId="210494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47D24D7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539FB0C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69F2DAB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0DA5860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0FB7C40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2AC47FD8">
      <w:pPr>
        <w:widowControl/>
        <w:adjustRightInd w:val="0"/>
        <w:snapToGrid w:val="0"/>
        <w:spacing w:line="360" w:lineRule="auto"/>
        <w:ind w:firstLine="560" w:firstLineChars="200"/>
        <w:rPr>
          <w:rFonts w:hint="eastAsia" w:ascii="仿宋" w:hAnsi="仿宋" w:eastAsia="仿宋" w:cs="仿宋"/>
          <w:sz w:val="28"/>
          <w:szCs w:val="28"/>
          <w:highlight w:val="none"/>
          <w:lang w:bidi="ar"/>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BE1205"/>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622091"/>
    <w:rsid w:val="018A26AE"/>
    <w:rsid w:val="01BA1D4A"/>
    <w:rsid w:val="022C10F3"/>
    <w:rsid w:val="0319454E"/>
    <w:rsid w:val="03667C72"/>
    <w:rsid w:val="04864A9B"/>
    <w:rsid w:val="04CB4348"/>
    <w:rsid w:val="04CD5176"/>
    <w:rsid w:val="04D37589"/>
    <w:rsid w:val="05446710"/>
    <w:rsid w:val="055135C4"/>
    <w:rsid w:val="05F63A97"/>
    <w:rsid w:val="05FB7B8F"/>
    <w:rsid w:val="0608138F"/>
    <w:rsid w:val="06497A35"/>
    <w:rsid w:val="07216AE2"/>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C16ABD"/>
    <w:rsid w:val="0ACD1112"/>
    <w:rsid w:val="0B776CC6"/>
    <w:rsid w:val="0BB439AC"/>
    <w:rsid w:val="0BCE4606"/>
    <w:rsid w:val="0BF53A95"/>
    <w:rsid w:val="0C2A0F45"/>
    <w:rsid w:val="0C4606C5"/>
    <w:rsid w:val="0C8C1339"/>
    <w:rsid w:val="0D191BE1"/>
    <w:rsid w:val="0D8C1FCE"/>
    <w:rsid w:val="0E7E0566"/>
    <w:rsid w:val="0EA42601"/>
    <w:rsid w:val="0EAA7742"/>
    <w:rsid w:val="0F476230"/>
    <w:rsid w:val="0F977B31"/>
    <w:rsid w:val="0F991612"/>
    <w:rsid w:val="0F9E3BE6"/>
    <w:rsid w:val="11BD13A5"/>
    <w:rsid w:val="129973FF"/>
    <w:rsid w:val="132C2A20"/>
    <w:rsid w:val="13840C20"/>
    <w:rsid w:val="13A6796B"/>
    <w:rsid w:val="13D26F2C"/>
    <w:rsid w:val="14547260"/>
    <w:rsid w:val="150F0169"/>
    <w:rsid w:val="151F55DC"/>
    <w:rsid w:val="1527707C"/>
    <w:rsid w:val="15BE44B8"/>
    <w:rsid w:val="15DC0BC8"/>
    <w:rsid w:val="16436D08"/>
    <w:rsid w:val="167F2C0C"/>
    <w:rsid w:val="16E12982"/>
    <w:rsid w:val="16EB7643"/>
    <w:rsid w:val="170A4CC0"/>
    <w:rsid w:val="17120E59"/>
    <w:rsid w:val="171A4BA4"/>
    <w:rsid w:val="17A34DD2"/>
    <w:rsid w:val="17B436C2"/>
    <w:rsid w:val="17E52734"/>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D92A86"/>
    <w:rsid w:val="1D045E7E"/>
    <w:rsid w:val="1D2E6FE8"/>
    <w:rsid w:val="1D86279B"/>
    <w:rsid w:val="1D8C0DA1"/>
    <w:rsid w:val="1DBB4C44"/>
    <w:rsid w:val="1E2419E1"/>
    <w:rsid w:val="1E363DC4"/>
    <w:rsid w:val="1E5F7ACC"/>
    <w:rsid w:val="1EC7494E"/>
    <w:rsid w:val="1F83778A"/>
    <w:rsid w:val="1FD92204"/>
    <w:rsid w:val="202A53EE"/>
    <w:rsid w:val="205D6CBF"/>
    <w:rsid w:val="21300ADF"/>
    <w:rsid w:val="21AF1B36"/>
    <w:rsid w:val="21D56D2D"/>
    <w:rsid w:val="21E8421C"/>
    <w:rsid w:val="22C344E3"/>
    <w:rsid w:val="22C42F77"/>
    <w:rsid w:val="22E2588F"/>
    <w:rsid w:val="22E62D3E"/>
    <w:rsid w:val="237160D1"/>
    <w:rsid w:val="23E34D81"/>
    <w:rsid w:val="2450260E"/>
    <w:rsid w:val="24547947"/>
    <w:rsid w:val="24832F32"/>
    <w:rsid w:val="24864284"/>
    <w:rsid w:val="25167458"/>
    <w:rsid w:val="253D3FEF"/>
    <w:rsid w:val="257E7E31"/>
    <w:rsid w:val="27A110F5"/>
    <w:rsid w:val="281C3D2E"/>
    <w:rsid w:val="28550A37"/>
    <w:rsid w:val="286745BE"/>
    <w:rsid w:val="286D4544"/>
    <w:rsid w:val="28992513"/>
    <w:rsid w:val="289F0154"/>
    <w:rsid w:val="2A936DFF"/>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5B172A"/>
    <w:rsid w:val="2D88240F"/>
    <w:rsid w:val="2D9D1FA4"/>
    <w:rsid w:val="2DFC3F11"/>
    <w:rsid w:val="2E5171F3"/>
    <w:rsid w:val="2EDC2A13"/>
    <w:rsid w:val="2EEB4016"/>
    <w:rsid w:val="2FAF2966"/>
    <w:rsid w:val="30713277"/>
    <w:rsid w:val="311100D9"/>
    <w:rsid w:val="312E16A3"/>
    <w:rsid w:val="31903F88"/>
    <w:rsid w:val="3198620B"/>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A086DB2"/>
    <w:rsid w:val="3A6A7888"/>
    <w:rsid w:val="3A7546EA"/>
    <w:rsid w:val="3AF17DC9"/>
    <w:rsid w:val="3B950B19"/>
    <w:rsid w:val="3BA1126C"/>
    <w:rsid w:val="3BAA03DC"/>
    <w:rsid w:val="3C2E7B2E"/>
    <w:rsid w:val="3C4E3C34"/>
    <w:rsid w:val="3C7301F1"/>
    <w:rsid w:val="3CAF3C5D"/>
    <w:rsid w:val="3D48526E"/>
    <w:rsid w:val="3D792ACB"/>
    <w:rsid w:val="3D8C6A13"/>
    <w:rsid w:val="3E815973"/>
    <w:rsid w:val="3F1F42B7"/>
    <w:rsid w:val="3F22253F"/>
    <w:rsid w:val="3F7240EB"/>
    <w:rsid w:val="3FA0014F"/>
    <w:rsid w:val="3FAF1C5C"/>
    <w:rsid w:val="3FCD8C1D"/>
    <w:rsid w:val="3FDB4108"/>
    <w:rsid w:val="402276E5"/>
    <w:rsid w:val="4025625A"/>
    <w:rsid w:val="406D56AE"/>
    <w:rsid w:val="40B966CD"/>
    <w:rsid w:val="40F93CAA"/>
    <w:rsid w:val="41452FE4"/>
    <w:rsid w:val="41464513"/>
    <w:rsid w:val="42044C81"/>
    <w:rsid w:val="42915828"/>
    <w:rsid w:val="439F76B3"/>
    <w:rsid w:val="43C95804"/>
    <w:rsid w:val="44864AA0"/>
    <w:rsid w:val="44A66E7C"/>
    <w:rsid w:val="44BC6AA8"/>
    <w:rsid w:val="44E26E48"/>
    <w:rsid w:val="44FA5A84"/>
    <w:rsid w:val="45EF45C4"/>
    <w:rsid w:val="46052D96"/>
    <w:rsid w:val="468679DC"/>
    <w:rsid w:val="46A0383F"/>
    <w:rsid w:val="46DB7B00"/>
    <w:rsid w:val="46EE6F59"/>
    <w:rsid w:val="48D26E94"/>
    <w:rsid w:val="492F1BC7"/>
    <w:rsid w:val="4981448B"/>
    <w:rsid w:val="49870082"/>
    <w:rsid w:val="49C96F4B"/>
    <w:rsid w:val="49DC7359"/>
    <w:rsid w:val="4A751D13"/>
    <w:rsid w:val="4ACB3DE1"/>
    <w:rsid w:val="4BAC561A"/>
    <w:rsid w:val="4C0439C1"/>
    <w:rsid w:val="4D9C1893"/>
    <w:rsid w:val="4DB94ADB"/>
    <w:rsid w:val="4E4966F7"/>
    <w:rsid w:val="4E5D3C82"/>
    <w:rsid w:val="4EAC6863"/>
    <w:rsid w:val="4EFD777B"/>
    <w:rsid w:val="4F034298"/>
    <w:rsid w:val="4FD80E98"/>
    <w:rsid w:val="501F215E"/>
    <w:rsid w:val="505F2D88"/>
    <w:rsid w:val="514318D7"/>
    <w:rsid w:val="52045C59"/>
    <w:rsid w:val="52704994"/>
    <w:rsid w:val="5294315D"/>
    <w:rsid w:val="52972612"/>
    <w:rsid w:val="52A64F62"/>
    <w:rsid w:val="530806DE"/>
    <w:rsid w:val="537D4134"/>
    <w:rsid w:val="538A0B3C"/>
    <w:rsid w:val="53EF3296"/>
    <w:rsid w:val="5415414D"/>
    <w:rsid w:val="54A31902"/>
    <w:rsid w:val="54BE3EA7"/>
    <w:rsid w:val="55394479"/>
    <w:rsid w:val="5543112E"/>
    <w:rsid w:val="55A70A1D"/>
    <w:rsid w:val="55B1747F"/>
    <w:rsid w:val="55B64551"/>
    <w:rsid w:val="55E92BB7"/>
    <w:rsid w:val="55E92DBD"/>
    <w:rsid w:val="564D4072"/>
    <w:rsid w:val="567B1415"/>
    <w:rsid w:val="56933A4F"/>
    <w:rsid w:val="56BE1DC5"/>
    <w:rsid w:val="56E06530"/>
    <w:rsid w:val="57264483"/>
    <w:rsid w:val="57476652"/>
    <w:rsid w:val="577F7102"/>
    <w:rsid w:val="58111172"/>
    <w:rsid w:val="585C49E5"/>
    <w:rsid w:val="586F0457"/>
    <w:rsid w:val="590D2BD1"/>
    <w:rsid w:val="59EE5157"/>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B66189"/>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4B430F"/>
    <w:rsid w:val="63D22876"/>
    <w:rsid w:val="63D47C8E"/>
    <w:rsid w:val="63F05E0D"/>
    <w:rsid w:val="64137491"/>
    <w:rsid w:val="6435147D"/>
    <w:rsid w:val="64697AA1"/>
    <w:rsid w:val="649E5D3C"/>
    <w:rsid w:val="64EA4CE8"/>
    <w:rsid w:val="65107E6C"/>
    <w:rsid w:val="653C4D87"/>
    <w:rsid w:val="6580104F"/>
    <w:rsid w:val="659D3354"/>
    <w:rsid w:val="66106E6A"/>
    <w:rsid w:val="6646550E"/>
    <w:rsid w:val="66C43787"/>
    <w:rsid w:val="67ED4707"/>
    <w:rsid w:val="684A0189"/>
    <w:rsid w:val="695569BF"/>
    <w:rsid w:val="696C7ACD"/>
    <w:rsid w:val="69D81B09"/>
    <w:rsid w:val="69F866F7"/>
    <w:rsid w:val="69FB553B"/>
    <w:rsid w:val="6A05798A"/>
    <w:rsid w:val="6A3274DB"/>
    <w:rsid w:val="6A37428B"/>
    <w:rsid w:val="6A467039"/>
    <w:rsid w:val="6A495DD7"/>
    <w:rsid w:val="6AC95853"/>
    <w:rsid w:val="6B5925FD"/>
    <w:rsid w:val="6BA76591"/>
    <w:rsid w:val="6BD72F6C"/>
    <w:rsid w:val="6C951F56"/>
    <w:rsid w:val="6CF8394D"/>
    <w:rsid w:val="6D214429"/>
    <w:rsid w:val="6D821B8D"/>
    <w:rsid w:val="6DBB528E"/>
    <w:rsid w:val="6DF70B9F"/>
    <w:rsid w:val="6E0F4C7F"/>
    <w:rsid w:val="6EB209C8"/>
    <w:rsid w:val="6EFA10EF"/>
    <w:rsid w:val="6F256E01"/>
    <w:rsid w:val="6F2B900B"/>
    <w:rsid w:val="6F3C641B"/>
    <w:rsid w:val="6F3D7060"/>
    <w:rsid w:val="6F6C470B"/>
    <w:rsid w:val="6FC13716"/>
    <w:rsid w:val="6FD929F5"/>
    <w:rsid w:val="7030723E"/>
    <w:rsid w:val="71134821"/>
    <w:rsid w:val="71226D3A"/>
    <w:rsid w:val="713C553F"/>
    <w:rsid w:val="71A817F7"/>
    <w:rsid w:val="71D02427"/>
    <w:rsid w:val="71FA5FC9"/>
    <w:rsid w:val="721245BB"/>
    <w:rsid w:val="72206C66"/>
    <w:rsid w:val="7234149C"/>
    <w:rsid w:val="72443C1B"/>
    <w:rsid w:val="738C7F28"/>
    <w:rsid w:val="73A120A2"/>
    <w:rsid w:val="73A51698"/>
    <w:rsid w:val="73B1259F"/>
    <w:rsid w:val="73F27641"/>
    <w:rsid w:val="7448595E"/>
    <w:rsid w:val="748A1855"/>
    <w:rsid w:val="74B370EA"/>
    <w:rsid w:val="74BB18E9"/>
    <w:rsid w:val="75175D2D"/>
    <w:rsid w:val="75E9502A"/>
    <w:rsid w:val="76505678"/>
    <w:rsid w:val="76BE191E"/>
    <w:rsid w:val="76D10EBE"/>
    <w:rsid w:val="76F224C3"/>
    <w:rsid w:val="77446B53"/>
    <w:rsid w:val="77874C68"/>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B5A3FCE"/>
    <w:rsid w:val="7B616325"/>
    <w:rsid w:val="7BE96BEE"/>
    <w:rsid w:val="7BEB172F"/>
    <w:rsid w:val="7BF03249"/>
    <w:rsid w:val="7CBB304B"/>
    <w:rsid w:val="7CFF1CEC"/>
    <w:rsid w:val="7D0568EF"/>
    <w:rsid w:val="7D173ACC"/>
    <w:rsid w:val="7D1B55A6"/>
    <w:rsid w:val="7D966739"/>
    <w:rsid w:val="7DA270F0"/>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rPr>
  </w:style>
  <w:style w:type="paragraph" w:styleId="3">
    <w:name w:val="Body Text Indent"/>
    <w:basedOn w:val="1"/>
    <w:qFormat/>
    <w:uiPriority w:val="0"/>
    <w:pPr>
      <w:spacing w:after="120"/>
      <w:ind w:left="420" w:leftChars="200"/>
    </w:pPr>
    <w:rPr>
      <w:rFonts w:asciiTheme="minorHAnsi" w:hAnsiTheme="minorHAnsi" w:eastAsiaTheme="minorEastAsia" w:cstheme="minorBidi"/>
    </w:rPr>
  </w:style>
  <w:style w:type="paragraph" w:styleId="4">
    <w:name w:val="Normal Indent"/>
    <w:basedOn w:val="1"/>
    <w:unhideWhenUsed/>
    <w:qFormat/>
    <w:uiPriority w:val="99"/>
    <w:pPr>
      <w:ind w:firstLine="420" w:firstLineChars="200"/>
    </w:pPr>
  </w:style>
  <w:style w:type="paragraph" w:styleId="5">
    <w:name w:val="Body Text"/>
    <w:basedOn w:val="1"/>
    <w:qFormat/>
    <w:uiPriority w:val="0"/>
    <w:pPr>
      <w:spacing w:after="120"/>
    </w:p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character" w:customStyle="1" w:styleId="18">
    <w:name w:val="批注框文本 字符"/>
    <w:basedOn w:val="13"/>
    <w:link w:val="6"/>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10439</Words>
  <Characters>11124</Characters>
  <Lines>83</Lines>
  <Paragraphs>23</Paragraphs>
  <TotalTime>1</TotalTime>
  <ScaleCrop>false</ScaleCrop>
  <LinksUpToDate>false</LinksUpToDate>
  <CharactersWithSpaces>11684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华晟</cp:lastModifiedBy>
  <dcterms:modified xsi:type="dcterms:W3CDTF">2025-07-31T06:43:38Z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01FC761C3CA24E82B2CEF5A52A2FD977_13</vt:lpwstr>
  </property>
  <property fmtid="{D5CDD505-2E9C-101B-9397-08002B2CF9AE}" pid="4" name="KSOTemplateDocerSaveRecord">
    <vt:lpwstr>eyJoZGlkIjoiOWU5ZTM3MmQxMGY2ZjZlNmU2YWIzZDFiMjViYmE2ZjAiLCJ1c2VySWQiOiI1MzMwNzM1MjIifQ==</vt:lpwstr>
  </property>
</Properties>
</file>