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hint="eastAsia" w:ascii="仿宋" w:hAnsi="仿宋" w:eastAsia="仿宋" w:cs="仿宋"/>
          <w:b/>
          <w:sz w:val="36"/>
          <w:szCs w:val="36"/>
          <w:highlight w:val="none"/>
        </w:rPr>
      </w:pPr>
      <w:bookmarkStart w:id="0" w:name="_GoBack"/>
      <w:r>
        <w:rPr>
          <w:rFonts w:hint="eastAsia" w:ascii="仿宋" w:hAnsi="仿宋" w:eastAsia="仿宋" w:cs="仿宋"/>
          <w:b/>
          <w:sz w:val="36"/>
          <w:szCs w:val="36"/>
          <w:highlight w:val="none"/>
        </w:rPr>
        <w:t>蒙牛乳业常温保定工厂新增光伏设备采购项目中标结果公示</w:t>
      </w:r>
    </w:p>
    <w:p w14:paraId="16C4BFAE">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项目名称：蒙牛乳业常温保定工厂新增光伏设备采购项目</w:t>
      </w:r>
    </w:p>
    <w:p w14:paraId="28DAB8E7">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项目编号：MNCGJH-20250731-0011</w:t>
      </w:r>
    </w:p>
    <w:p w14:paraId="1DF999AC">
      <w:pPr>
        <w:spacing w:line="500" w:lineRule="exact"/>
        <w:ind w:right="23" w:rightChars="11" w:firstLine="560" w:firstLineChars="200"/>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u w:val="single"/>
          <w:lang w:eastAsia="zh-CN"/>
        </w:rPr>
        <w:t>内蒙古蒙牛乳业（集团）股份有限公司</w:t>
      </w:r>
    </w:p>
    <w:p w14:paraId="58FCF954">
      <w:pPr>
        <w:spacing w:line="500" w:lineRule="exact"/>
        <w:ind w:right="23" w:rightChars="1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hint="eastAsia" w:ascii="仿宋" w:hAnsi="仿宋" w:eastAsia="仿宋" w:cs="仿宋"/>
                <w:kern w:val="0"/>
                <w:sz w:val="28"/>
                <w:highlight w:val="none"/>
              </w:rPr>
            </w:pPr>
            <w:r>
              <w:rPr>
                <w:rFonts w:hint="eastAsia" w:ascii="仿宋" w:hAnsi="仿宋" w:eastAsia="仿宋" w:cs="仿宋"/>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紫创光科绿能（深圳）工程有限公司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石家庄新奥能源发展有限公司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天津煜德电力工程有限公司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 w:hAnsi="仿宋" w:eastAsia="仿宋" w:cs="仿宋"/>
                <w:color w:val="000000"/>
                <w:kern w:val="0"/>
                <w:sz w:val="28"/>
                <w:highlight w:val="none"/>
              </w:rPr>
            </w:pPr>
            <w:r>
              <w:rPr>
                <w:rFonts w:hint="eastAsia" w:ascii="仿宋" w:hAnsi="仿宋" w:eastAsia="仿宋" w:cs="仿宋"/>
                <w:color w:val="000000"/>
                <w:kern w:val="0"/>
                <w:sz w:val="28"/>
                <w:highlight w:val="none"/>
              </w:rPr>
              <w:t>否</w:t>
            </w:r>
          </w:p>
        </w:tc>
      </w:tr>
    </w:tbl>
    <w:p w14:paraId="0BD57F16">
      <w:pPr>
        <w:spacing w:line="5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公示期间如对公示对象的评审结果有异议，请根据如下说明及要求提出质疑；公示期为</w:t>
      </w:r>
      <w:r>
        <w:rPr>
          <w:rFonts w:hint="eastAsia" w:ascii="仿宋" w:hAnsi="仿宋" w:eastAsia="仿宋" w:cs="仿宋"/>
          <w:bCs/>
          <w:sz w:val="28"/>
          <w:szCs w:val="28"/>
          <w:highlight w:val="none"/>
          <w:u w:val="single"/>
          <w:lang w:val="en-US" w:eastAsia="zh-CN"/>
        </w:rPr>
        <w:t>2025</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lang w:val="en-US" w:eastAsia="zh-CN"/>
        </w:rPr>
        <w:t>08</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30</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0时</w:t>
      </w:r>
      <w:r>
        <w:rPr>
          <w:rFonts w:hint="eastAsia" w:ascii="仿宋" w:hAnsi="仿宋" w:eastAsia="仿宋" w:cs="仿宋"/>
          <w:bCs/>
          <w:sz w:val="28"/>
          <w:szCs w:val="28"/>
          <w:highlight w:val="none"/>
        </w:rPr>
        <w:t>至</w:t>
      </w:r>
      <w:r>
        <w:rPr>
          <w:rFonts w:hint="eastAsia" w:ascii="仿宋" w:hAnsi="仿宋" w:eastAsia="仿宋" w:cs="仿宋"/>
          <w:bCs/>
          <w:sz w:val="28"/>
          <w:szCs w:val="28"/>
          <w:highlight w:val="none"/>
          <w:u w:val="single"/>
          <w:lang w:val="en-US" w:eastAsia="zh-CN"/>
        </w:rPr>
        <w:t>08</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lang w:val="en-US" w:eastAsia="zh-CN"/>
        </w:rPr>
        <w:t>30</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24时</w:t>
      </w:r>
      <w:r>
        <w:rPr>
          <w:rFonts w:hint="eastAsia" w:ascii="仿宋" w:hAnsi="仿宋" w:eastAsia="仿宋" w:cs="仿宋"/>
          <w:bCs/>
          <w:sz w:val="28"/>
          <w:szCs w:val="28"/>
          <w:highlight w:val="none"/>
        </w:rPr>
        <w:t>，逾期不予受理。</w:t>
      </w:r>
    </w:p>
    <w:p w14:paraId="38C9927C">
      <w:pPr>
        <w:spacing w:line="500" w:lineRule="exact"/>
        <w:ind w:firstLine="560" w:firstLineChars="200"/>
        <w:rPr>
          <w:rFonts w:hint="eastAsia" w:ascii="仿宋" w:hAnsi="仿宋" w:eastAsia="仿宋" w:cs="仿宋"/>
          <w:bCs/>
          <w:sz w:val="28"/>
          <w:szCs w:val="28"/>
          <w:highlight w:val="none"/>
        </w:rPr>
      </w:pPr>
    </w:p>
    <w:p w14:paraId="41A14D48">
      <w:pPr>
        <w:tabs>
          <w:tab w:val="left" w:pos="2788"/>
        </w:tabs>
        <w:spacing w:line="360" w:lineRule="auto"/>
        <w:ind w:firstLine="663" w:firstLineChars="236"/>
        <w:rPr>
          <w:rFonts w:hint="eastAsia" w:ascii="仿宋" w:hAnsi="仿宋" w:eastAsia="仿宋" w:cs="仿宋"/>
          <w:b/>
          <w:sz w:val="28"/>
          <w:szCs w:val="28"/>
          <w:highlight w:val="none"/>
        </w:rPr>
      </w:pPr>
      <w:r>
        <w:rPr>
          <w:rFonts w:hint="eastAsia" w:ascii="仿宋" w:hAnsi="仿宋" w:eastAsia="仿宋" w:cs="仿宋"/>
          <w:b/>
          <w:sz w:val="28"/>
          <w:szCs w:val="28"/>
          <w:highlight w:val="none"/>
        </w:rPr>
        <w:t>说明：</w:t>
      </w:r>
    </w:p>
    <w:p w14:paraId="03980145">
      <w:pPr>
        <w:numPr>
          <w:ilvl w:val="0"/>
          <w:numId w:val="0"/>
        </w:num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投标人认为中标结果使自己的权益受到损害的，可以在公示期内首先以书面形式向内蒙古华晟工程项目管理有限公司</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u w:val="single"/>
          <w:lang w:eastAsia="zh-CN"/>
        </w:rPr>
        <w:t>内蒙古蒙牛乳业（集团）股份有限公司</w:t>
      </w:r>
      <w:r>
        <w:rPr>
          <w:rFonts w:hint="eastAsia" w:ascii="仿宋" w:hAnsi="仿宋" w:eastAsia="仿宋" w:cs="仿宋"/>
          <w:sz w:val="28"/>
          <w:szCs w:val="28"/>
          <w:highlight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质疑受理单位信息：</w:t>
      </w:r>
    </w:p>
    <w:p w14:paraId="6D247297">
      <w:pPr>
        <w:pStyle w:val="14"/>
        <w:tabs>
          <w:tab w:val="left" w:pos="2788"/>
        </w:tabs>
        <w:spacing w:line="360" w:lineRule="auto"/>
        <w:ind w:firstLine="1680" w:firstLineChars="600"/>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7B6463EB">
      <w:pPr>
        <w:pStyle w:val="14"/>
        <w:tabs>
          <w:tab w:val="left" w:pos="2788"/>
        </w:tabs>
        <w:spacing w:line="360" w:lineRule="auto"/>
        <w:ind w:left="1788"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电话：0471-4918085/</w:t>
      </w:r>
      <w:r>
        <w:rPr>
          <w:rFonts w:hint="eastAsia" w:ascii="仿宋" w:hAnsi="仿宋" w:eastAsia="仿宋" w:cs="仿宋"/>
          <w:sz w:val="28"/>
          <w:szCs w:val="28"/>
          <w:highlight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邮箱：zhaobo@nmghuasheng.com</w:t>
      </w:r>
    </w:p>
    <w:p w14:paraId="3ADA7FE6">
      <w:pPr>
        <w:pStyle w:val="14"/>
        <w:tabs>
          <w:tab w:val="left" w:pos="2788"/>
        </w:tabs>
        <w:spacing w:line="360" w:lineRule="auto"/>
        <w:ind w:left="1788" w:firstLine="0" w:firstLineChars="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u w:val="single"/>
          <w:lang w:eastAsia="zh-CN"/>
        </w:rPr>
        <w:t>内蒙古蒙牛乳业（集团）股份有限公司</w:t>
      </w:r>
      <w:r>
        <w:rPr>
          <w:rFonts w:hint="eastAsia" w:ascii="仿宋" w:hAnsi="仿宋" w:eastAsia="仿宋" w:cs="仿宋"/>
          <w:sz w:val="28"/>
          <w:szCs w:val="28"/>
          <w:highlight w:val="none"/>
        </w:rPr>
        <w:t xml:space="preserve">    </w:t>
      </w:r>
      <w:r>
        <w:rPr>
          <w:rFonts w:hint="eastAsia" w:ascii="仿宋" w:hAnsi="仿宋" w:eastAsia="仿宋" w:cs="仿宋"/>
          <w:color w:val="FF0000"/>
          <w:sz w:val="28"/>
          <w:szCs w:val="28"/>
          <w:highlight w:val="none"/>
        </w:rPr>
        <w:t xml:space="preserve"> </w:t>
      </w:r>
    </w:p>
    <w:p w14:paraId="78F5781F">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电话：13474830806</w:t>
      </w:r>
    </w:p>
    <w:p w14:paraId="1C85BFDD">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"mailto:shifulong@mengniu.cn" </w:instrText>
      </w:r>
      <w:r>
        <w:rPr>
          <w:rFonts w:hint="eastAsia" w:ascii="仿宋" w:hAnsi="仿宋" w:eastAsia="仿宋" w:cs="仿宋"/>
          <w:sz w:val="28"/>
          <w:szCs w:val="28"/>
          <w:highlight w:val="none"/>
        </w:rPr>
        <w:fldChar w:fldCharType="separate"/>
      </w:r>
      <w:r>
        <w:rPr>
          <w:rStyle w:val="9"/>
          <w:rFonts w:hint="eastAsia" w:ascii="仿宋" w:hAnsi="仿宋" w:eastAsia="仿宋" w:cs="仿宋"/>
          <w:sz w:val="28"/>
          <w:szCs w:val="28"/>
          <w:highlight w:val="none"/>
        </w:rPr>
        <w:t>shifulong@mengniu.cn</w:t>
      </w:r>
      <w:r>
        <w:rPr>
          <w:rFonts w:hint="eastAsia" w:ascii="仿宋" w:hAnsi="仿宋" w:eastAsia="仿宋" w:cs="仿宋"/>
          <w:sz w:val="28"/>
          <w:szCs w:val="28"/>
          <w:highlight w:val="none"/>
        </w:rPr>
        <w:fldChar w:fldCharType="end"/>
      </w:r>
    </w:p>
    <w:p w14:paraId="39704B29">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质疑服务网址：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3E4870A8">
      <w:pPr>
        <w:pStyle w:val="14"/>
        <w:numPr>
          <w:ilvl w:val="0"/>
          <w:numId w:val="0"/>
        </w:numPr>
        <w:tabs>
          <w:tab w:val="left" w:pos="2788"/>
        </w:tabs>
        <w:spacing w:line="360" w:lineRule="auto"/>
        <w:ind w:left="708" w:left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投诉受理单位信息：蒙牛乳业采购招标管理部</w:t>
      </w:r>
    </w:p>
    <w:p w14:paraId="27CE5ED4">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监督人：薛海燕</w:t>
      </w:r>
    </w:p>
    <w:p w14:paraId="6FA2E96A">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62C60C29">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9"/>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23842E9A">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投诉服务网址：</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"https://zbcg.mengniu.cn/" \l "/home"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0EF99E71">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电子邮件或平台网址：</w:t>
      </w:r>
    </w:p>
    <w:p w14:paraId="4535F136">
      <w:pPr>
        <w:numPr>
          <w:ilvl w:val="0"/>
          <w:numId w:val="0"/>
        </w:num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（2）被质疑人或被投诉人的单位名称或姓名等；</w:t>
      </w:r>
    </w:p>
    <w:p w14:paraId="06601835">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（3）质疑或投诉的事实及理由；</w:t>
      </w:r>
    </w:p>
    <w:p w14:paraId="2CCDEDB3">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（4）有关违规违法的情况和有效证明材料；</w:t>
      </w:r>
    </w:p>
    <w:p w14:paraId="5ACAA82D">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（5）质疑人或投诉人的签章及质疑或投诉时间；</w:t>
      </w:r>
    </w:p>
    <w:p w14:paraId="3672F037">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对无效质疑或投诉，本公司恕不予答复和受理。</w:t>
      </w:r>
    </w:p>
    <w:p w14:paraId="376A9370">
      <w:pPr>
        <w:tabs>
          <w:tab w:val="left" w:pos="2788"/>
        </w:tabs>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57D240CA">
      <w:pPr>
        <w:tabs>
          <w:tab w:val="left" w:pos="2788"/>
        </w:tabs>
        <w:spacing w:line="360" w:lineRule="auto"/>
        <w:ind w:firstLine="660" w:firstLineChars="236"/>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98D8BF6">
      <w:pPr>
        <w:tabs>
          <w:tab w:val="left" w:pos="2788"/>
        </w:tabs>
        <w:spacing w:line="360" w:lineRule="auto"/>
        <w:rPr>
          <w:rFonts w:hint="eastAsia" w:ascii="仿宋" w:hAnsi="仿宋" w:eastAsia="仿宋" w:cs="仿宋"/>
          <w:sz w:val="28"/>
          <w:szCs w:val="28"/>
          <w:highlight w:val="none"/>
        </w:rPr>
      </w:pPr>
    </w:p>
    <w:p w14:paraId="6176C5CD">
      <w:pPr>
        <w:tabs>
          <w:tab w:val="left" w:pos="2788"/>
        </w:tabs>
        <w:spacing w:line="360" w:lineRule="auto"/>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招标代理机构（盖章）：</w:t>
      </w:r>
      <w:r>
        <w:rPr>
          <w:rFonts w:hint="eastAsia" w:ascii="仿宋" w:hAnsi="仿宋" w:eastAsia="仿宋" w:cs="仿宋"/>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hint="eastAsia" w:ascii="仿宋" w:hAnsi="仿宋" w:eastAsia="仿宋" w:cs="仿宋"/>
          <w:color w:val="FF0000"/>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p>
    <w:bookmarkEnd w:id="0"/>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372069F5"/>
    <w:rsid w:val="47730B9F"/>
    <w:rsid w:val="4D983341"/>
    <w:rsid w:val="6D2C72AA"/>
    <w:rsid w:val="6EDB408E"/>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708</Words>
  <Characters>812</Characters>
  <Lines>6</Lines>
  <Paragraphs>1</Paragraphs>
  <TotalTime>5</TotalTime>
  <ScaleCrop>false</ScaleCrop>
  <LinksUpToDate>false</LinksUpToDate>
  <CharactersWithSpaces>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2025-08-29T02:26:46Z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eyJoZGlkIjoiZjU1ZTMyNDdhMTkwNTgyNjRhYWNjMTc1NWJlMjMxY2IiLCJ1c2VySWQiOiI1MzMwNzM1MjIifQ==</vt:lpwstr>
  </property>
</Properties>
</file>